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TPF 2018 158 vom 13. Dezember 2013</w:t>
      </w:r>
    </w:p>
    <w:p>
      <w:r>
        <w:t>Bundesstrafgericht, 2013-12-13, FR</w:t>
      </w:r>
    </w:p>
    <w:p>
      <w:r>
        <w:rPr>
          <w:b/>
        </w:rPr>
        <w:t xml:space="preserve">Quelle: </w:t>
      </w:r>
      <w:r>
        <w:t>https://mcp.opencaselaw.ch/entscheid/bstger_TPF_2018_158</w:t>
      </w:r>
    </w:p>
    <w:p>
      <w:r>
        <w:t>FR: TPF TPF 2018 158 du 13 décembre 2013</w:t>
      </w:r>
    </w:p>
    <w:p>
      <w:r>
        <w:t>IT: TPF TPF 2018 158 del 13 dicembre 2013</w:t>
      </w:r>
    </w:p>
    <w:p>
      <w:pPr>
        <w:pStyle w:val="Heading2"/>
      </w:pPr>
      <w:r>
        <w:t>Regeste</w:t>
      </w:r>
    </w:p>
    <w:p>
      <w:r>
        <w:t>Internationale Rechtshilfe in Strafsachen an die USA; Verfahren der Siegelung; Abgrenzung der Zuständigkeiten der Zentralstelle und der ausführenden Behörde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octobre 2018.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