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133 vom 1. Januar 2018</w:t>
      </w:r>
    </w:p>
    <w:p>
      <w:r>
        <w:t>Bundesstrafgericht, 2018-01-01, IT</w:t>
      </w:r>
    </w:p>
    <w:p>
      <w:r>
        <w:rPr>
          <w:b/>
        </w:rPr>
        <w:t xml:space="preserve">Quelle: </w:t>
      </w:r>
      <w:r>
        <w:t>https://mcp.opencaselaw.ch/entscheid/bstger_TPF_2018_133</w:t>
      </w:r>
    </w:p>
    <w:p>
      <w:r>
        <w:t>FR: TPF TPF 2018 133 du 1 janvier 2018</w:t>
      </w:r>
    </w:p>
    <w:p>
      <w:r>
        <w:t>IT: TPF TPF 2018 133 del 1 gennaio 2018</w:t>
      </w:r>
    </w:p>
    <w:p>
      <w:pPr>
        <w:pStyle w:val="Heading2"/>
      </w:pPr>
      <w:r>
        <w:t>Regeste</w:t>
      </w:r>
    </w:p>
    <w:p>
      <w:r>
        <w:t>Nichtanhandnahmeverfügung; Verfahrenssprache; Beschwerdelegitimation; Tatverdacht</w:t>
      </w:r>
    </w:p>
    <w:p>
      <w:pPr>
        <w:pStyle w:val="Heading2"/>
      </w:pPr>
      <w:r>
        <w:t>Erwägungen</w:t>
      </w:r>
    </w:p>
    <w:p>
      <w:r>
        <w:rPr>
          <w:b/>
        </w:rPr>
        <w:t>E. 1</w:t>
      </w:r>
    </w:p>
    <w:p>
      <w:r>
        <w:t>LAFE). Essa non protegge dunque interessi privati ma esclusivamente collettivi (v. DE BIASIO/ALBISETTI, LAFE. Giurisprudenza scelta, 2017, pag. 127). Le ricorrenti non sono dunque legittimate a ricorrere contro il mancato perseguimento penale in virtù di quest’ultima normativa.</w:t>
      </w:r>
    </w:p>
    <w:p>
      <w:r>
        <w:rPr>
          <w:b/>
        </w:rPr>
        <w:t>E. 3</w:t>
      </w:r>
    </w:p>
    <w:p>
      <w:r>
        <w:t>Le reclamanti contestano anzitutto la lingua nella quale la decisione impugnata è stata redatta, ossia l’italiano. Essendo la denuncia penale stata presentata in inglese e tenuto conto del fatto che la corrispondenza con il MPC è avvenuta in inglese o in francese, tale scelta sarebbe incomprensibile e contraria ai principi legali e giurisprudenziali validi in materia.</w:t>
      </w:r>
    </w:p>
    <w:p>
      <w:r>
        <w:rPr>
          <w:b/>
        </w:rPr>
        <w:t>E. 3.1</w:t>
      </w:r>
    </w:p>
    <w:p>
      <w:r>
        <w:t>Secondo l’art. 67 CPP, la Confederazione e i Cantoni designano le lingue in cui si svolge il procedimento dinanzi alle loro autorità penali (cpv. 1). La LOAP, che integra le disposizioni del CPP per quanto concerne la giurisdizione federale (cfr. art. 1 cpv. 1 LOAP), regola anche, tra l’altro, la lingua del procedimento. Questa è il tedesco, il francese o l’italiano (art. 3 cpv. 1 LOAP). Il Ministero pubblico della Confederazione determina la lingua del procedimento all’apertura dell’istruzione (art. 3 cpv. 2 LOAP). Tiene conto segnatamente: delle conoscenze linguistiche dei partecipanti al procedimento (lett. a); della lingua degli atti essenziali (lett. b); della lingua del luogo dei primi atti istruttori (lett. c). La lingua scelta vale fino alla chiusura del procedimento con decisione passata in giudicato (art. 3 cpv. 3 LOAP). Può essere cambiata a titolo eccezionale in presenza di gravi motivi, segnatamente nel caso di disgiunzione o riunione dei procedimenti (art. 3 cpv. 4 LOAP). L’elenco dei criteri di cui all’art. 3 cpv. 2 LOAP si basa essenzialmente sulla giurisprudenza in vigore prima della sua entrata in vigore (v. TPF 2011 68 consid. 2), ma non è esaustivo. In via eccezionale, anche le risorse disponibili possono costituire un criterio (come espressamente indicato nel Messaggio del 10 settembre 2008 concernente la legge federale sull’organizzazione delle autorità penali della Confederazione, FF 2008 7115). Di per sé, tuttavia, non possono essere decisive né considerazioni organizzative interne né una visione puramente aritmetica delle parti in causa (cfr. decisione del Tribunale penale federale BB.2014.22 del 27 marzo 2014 consid. 2.2 con rinvii). In definitiva, le caratteristiche del procedimento penale non forniscono un criterio generale per determinare la lingua del procedimento. Le circostanze del singolo caso</w:t>
      </w:r>
    </w:p>
    <w:p>
      <w:r>
        <w:t>TPF 2018 133 139</w:t>
      </w:r>
    </w:p>
    <w:p>
      <w:r>
        <w:t>specifico devono sempre essere prese in considerazione (v. decisione del Tribunale penale federale BB.2014.80 del 31 ottobre 2014 consid. 2.2.3 con rinvii). Il MPC ha un ampio margine d’apprezzamento nella sua decisione in merito (TPF 2017 38 consid. 3.3; TPF 2011 68 consid. 2 pag. 71; decisione del Tribunale penale federale BB.2014.22 del 27 marzo 2014 consid. 2.2).</w:t>
      </w:r>
    </w:p>
    <w:p>
      <w:r>
        <w:rPr>
          <w:b/>
        </w:rPr>
        <w:t>E. 3.2</w:t>
      </w:r>
    </w:p>
    <w:p>
      <w:r>
        <w:t>Nella fattispecie, le reclamanti, con scritti del 5 e 12 luglio 2018, hanno chiesto in sostanza al MPC di redigere il decreto impugnato in lingua francese. Nella sua risposta del 13 luglio 2018 il MPC ha affermato che «le motif pour lequel notre ordonnance – que nous n’entendons pas traduire en français et notifier une nouvelle fois – a été rédigée en italien tient à un cumul exceptionnel d’absences de collaborateurs francophones dans la division responsable du traitement des affaires de crime organisé. En outre, Monsieur H., notre procureur responsable du domaine crime organisé, est de langue italophone». Ora, alla luce di quanto esposto al considerando precedente, è indubbio che la motivazione fornita dal MPC non sarebbe di per sé sufficiente per giustificare la scelta della lingua italiana come lingua con cui condurre un’ipotetica procedura penale in relazione ai fatti qui in esame, visto che indica come unico criterio pure e semplici ragioni organizzative, senza in sostanza alcun richiamo ai criteri elencati all’art. 3 LOAP. Visto l’esito del ricorso nel merito (v. infra consid. 4) la censurabile scelta del MPC non ha tuttavia tangibili conseguenze, se non quella di cui supra al consid. 1, per cui la questione non merita ulteriore disamina, ma se ne terrà comunque conto nella fissazione della tassa di giustizia.</w:t>
      </w:r>
    </w:p>
    <w:p>
      <w:r>
        <w:rPr>
          <w:b/>
        </w:rPr>
        <w:t>E. 4</w:t>
      </w:r>
    </w:p>
    <w:p>
      <w:r>
        <w:t>L’art. 301 cpv. 1 CPP prevede che ognuno ha il diritto di denunciare per scritto od oralmente un reato a un’autorità di perseguimento penale. Il deposito della denuncia non dà diritto all’apertura di un procedimento penale (RIEDO/BONER, Commentario basilese, 2a ediz. 2014, n. 6 ad art. 301 CPP). Giusta l’art. 310 cpv. 1 lett. a CPP, il pubblico ministero emana un decreto di non luogo a procedere non appena, sulla base della denuncia o del rapporto di polizia, accerta che gli elementi costitutivi di reato o i presupposti processuali non sono adempiuti. Per altro, la procedura è retta dalle disposizioni sull’abbandono del procedimento (cpv. 2).</w:t>
      </w:r>
    </w:p>
    <w:p>
      <w:r>
        <w:rPr>
          <w:b/>
        </w:rPr>
        <w:t>E. 4.1</w:t>
      </w:r>
    </w:p>
    <w:p>
      <w:r>
        <w:t>Il MPC ha motivato il suo decreto di non luogo a procedere essenzialmente come segue.</w:t>
      </w:r>
    </w:p>
    <w:p>
      <w:r>
        <w:t>Innanzitutto i reati ipotizzati sarebbero quasi integralmente avvenuti all’estero. La ricerca dei mezzi di prova nella fase istruttoria dovrebbe dunque essere eseguita all’estero. L’unico elemento certo di collegamento con la Svizzera sarebbe il domicilio del denunciato a Ginevra. Per quanto</w:t>
      </w:r>
    </w:p>
    <w:p>
      <w:r>
        <w:t>TPF 2018 133 140</w:t>
      </w:r>
    </w:p>
    <w:p>
      <w:r>
        <w:t>concerne la presunta progettazione dei reati in Svizzera, questa rimarrebbe pura presunzione. Inoltre i fatti portati a sostegno delle accuse si baserebbero in maniera estesa su supposizioni o episodi/ipotesi riportati da svariate testate giornalistiche. In denuncia verrebbero mosse contestazioni e rimproveri generici. Mal si comprenderebbe come dati riportati di estrema rilevanza, qualora realmente suffragati da concreti elementi probatori, sfuggiti al sistema giudiziario ucraino, potrebbero essere acquisiti dall’autorità di perseguimento penale elvetica, la quale potrebbe agire solo sul piano dell’assistenza giudiziaria internazionale in materia penale, facendo capo proprio a quelle autorità che si asserisce rimaste inoperose. Secondo il MPC, i fatti presenterebbero in realtà vistosi aspetti civilistici, legati all’esercizio di attività economiche di natura commerciale. Per quanto riguarda il reato di organizzazione criminale, questo sarebbe sostanziato in primis in base alla semplice indicazione dei nominativi di persone che ne farebbero parte, le quali, fatta eccezione per C., sua sorella I. e J., sarebbero tutte residenti all’estero. Per quanto attiene ai reati di corruzione, estorsione, furto, rapina e appropriazione indebita, l’esecuzione degli stessi, se del caso, sarebbe avvenuta esclusivamente all’estero, dove andrebbero ricercati, mediante rogatoria, tutti i mezzi di prova. Che la fase dell’ideazione dei reati sia avvenuta a Ginevra rimarrebbe una pura presunzione di parte. Per tacere dell’inesistenza di un qualsiasi elemento concreto relativo a presunti reati di riciclaggio di denaro, fatto dimostrato dalla ricerca indiscriminata, postulata dalle denuncianti, di beni patrimoniali riconducibili a C. in Svizzera. Il fumus richiesto per l’apertura di un’istruzione penale farebbe pure difetto per quanto concerne la LAFE ed il reato di falsità in documenti. Il MPC evidenzia un uso improprio della denuncia penale laddove si richiede che la ricerca di informazioni, certamente utili al buon esito di un procedimento civile, passi attraverso l’adozione, in maniera indiscriminata, di misure coercitive nell’ambito di un’istruzione penale. Esso conclude che, in concreto, non sarebbero rinvenibili elementi indizianti sufficienti, relativi in particolare al legame diretto fra condotte illecite e presunto autore, ovvero fra le condotte illecite ipotizzate in denuncia e C. Nemmeno le condizioni di luogo per applicare la normativa penale elvetica sarebbero suffragate da elementi indizianti. A fronte dei fatti esposti e degli atti allegati in denuncia, anche qualora una fattispecie penale fosse da ritenere realizzata, la stessa sarebbe infatti stata commessa esclusivamente all’estero.</w:t>
      </w:r>
    </w:p>
    <w:p>
      <w:r>
        <w:rPr>
          <w:b/>
        </w:rPr>
        <w:t>E. 4.2</w:t>
      </w:r>
    </w:p>
    <w:p>
      <w:r>
        <w:t>Questa Corte ritiene la decisione del MPC fondata.</w:t>
      </w:r>
    </w:p>
    <w:p>
      <w:r>
        <w:rPr>
          <w:b/>
        </w:rPr>
        <w:t>E. 4.2.1</w:t>
      </w:r>
    </w:p>
    <w:p>
      <w:r>
        <w:t>Innanzitutto, per quanto riguarda le infrazioni contro il patrimonio, costituenti i crimini a monte dei reati di riciclaggio che sarebbero stati commessi in Svizzera, occorre rilevare che la descrizione dei fatti contenuti</w:t>
      </w:r>
    </w:p>
    <w:p>
      <w:r>
        <w:t>TPF 2018 133 141</w:t>
      </w:r>
    </w:p>
    <w:p>
      <w:r>
        <w:t>nella denuncia penale induce a concludere che se tali infrazioni fossero state effettivamente commesse, esse lo sarebbero state in Ucraina, luogo di residenza della maggior parte delle persone fisiche e giuridiche implicate. Né la denuncia penale, né il presente gravame, né gli atti dell’incarto permettono di supporre che le infrazioni contro il patrimonio in questione, contestate a C., siano state commesse in Svizzera. Le reclamanti non spiegano con quali atti concreti in Svizzera C. o altri avrebbero commesso i reati in questione. La pura cogitazione di un eventuale piano criminale, ammesso che sia minimamente dimostrabile, non costituisce certamente un atto punibile se non si manifesta anche in azioni concrete poste in essere sul nostro territorio: di esse agli atti non vi è tuttavia alcuna traccia. Il semplice fatto che C. risieda in Svizzera non è un aggancio materiale sufficiente per ammettere una giurisdizione svizzera sui fatti in esame. Analogo discorso per il reato di falsità in documenti rispettivamente per gli atti corruttivi di cui non è dato sapere quale sarebbe il legame con il nostro territorio.</w:t>
      </w:r>
    </w:p>
    <w:p>
      <w:r>
        <w:rPr>
          <w:b/>
        </w:rPr>
        <w:t>E. 4.2.2</w:t>
      </w:r>
    </w:p>
    <w:p>
      <w:r>
        <w:t>Le reclamanti sostengono che le infrazioni contro il patrimonio invocate nella denuncia penale sarebbero state commesse nel quadro di un’organizzazione criminale ai sensi dell’art. 260ter CP e che due membri di essa, K. e L., erano anch’essi presenti a Ginevra quando sarebbero stati commessi i reati in questione. Esse non forniscono tuttavia nessun elemento concreto che porti a sospettare l’esistenza di una tale organizzazione, né viene spiegato quale sarebbe l’attività criminale che l’organizzazione eserciterebbe o intenderebbe esercitare in Svizzera, condizione essenziale per l’applicazione transfrontaliera di questa disposizione (v. art. 260ter n. 3 CP). La semplice presenza in Svizzera di attività o soggetti legati a C. e alle persone a lui vicine non è manifestamente sufficiente per applicare la disposizione in questione. Per il resto la legittimazione a ricorrere basata su questa disposizione è comunque limitata alla luce di quanto precisato al consid. 2.2 per cui non vi è alcun margine per un esame della fattispecie che vada oltre quello dei reati scopo di natura patrimoniale, rispettivamente corruttiva per i quali è già stata esclusa giurisdizione svizzera al precedente considerando.</w:t>
      </w:r>
    </w:p>
    <w:p>
      <w:r>
        <w:rPr>
          <w:b/>
        </w:rPr>
        <w:t>E. 4.2.3</w:t>
      </w:r>
    </w:p>
    <w:p>
      <w:r>
        <w:t>Per quanto attiene agli atti di riciclaggio di denaro che sarebbero stati commessi in Svizzera, la denuncia penale ed il reclamo si limitano a formulare vaghe ipotesi e a chiedere la ricerca di beni del denunciato in Svizzera, senza indicare operazioni bancarie concrete che potrebbero alimentare un sospetto in tal senso. Gli atti dell’incarto non permettono di mettere in evidenza elementi concreti relativi a flussi finanziari tra l’Ucraina e la Svizzera. Le reclamanti non hanno indicato nessuna relazione bancaria in Svizzera che potrebbe aver beneficiato di fondi di origine criminale. Il semplice fatto che la figlia o la sorella di C. siano proprietarie di abitazioni</w:t>
      </w:r>
    </w:p>
    <w:p>
      <w:r>
        <w:t>TPF 2018 133 142</w:t>
      </w:r>
    </w:p>
    <w:p>
      <w:r>
        <w:t>nel Canton Ginevra non è certo sufficiente per fondare un sospetto di riciclaggio di denaro nel nostro Paese.</w:t>
      </w:r>
    </w:p>
    <w:p>
      <w:r>
        <w:rPr>
          <w:b/>
        </w:rPr>
        <w:t>E. 4.2.4</w:t>
      </w:r>
    </w:p>
    <w:p>
      <w:r>
        <w:t>Più in generale, questa Corte rileva come le accuse formulate dalle reclamanti nei confronti del denunciato si basino esclusivamente su articoli di stampa e atti di complesse procedure civili intervenute o pendenti all’estero. […] Ferma restando la notorietà della difficile situazione politica, sociale e militare dell’Ucraina, la tipologia dei reati in esame non permette di fondare giurisdizione penale svizzera se questa non è accompagnata da sufficienti appigli territoriali con il nostro Paese e non si può approfittare della semplice presenza di talune persone sul territorio svizzero per aggirare le normali regole del diritto penale internazionale, mediante una sorta di «forum shopping». Nella loro denuncia le reclamanti hanno certo descritto, producendo innumerevoli atti provenienti da procedure civili estere, svariati fatti, operazioni ed attività di natura commerciale: da esse non emerge tuttavia una particolare rilevanza penale, o perlomeno non in maniera sufficiente per aprire una procedura preliminare in applicazione dell’art. 299 cpv. 2 CPP. Il MPC ha preso in considerazione tutti gli elementi presentati dalle reclamanti, giungendo alla conclusione, condivisa da questa Corte, che non vi siano sufficienti indizi di reato. Il fatto che vi possano essere state all’estero irregolarità negoziali o societarie non costituisce motivo sufficiente per avviare un procedimento penale nel nostro Paese, per cui, contrariamente a quanto sostenuto dalle ricorrenti, il MPC, rinunciando ad aprire una procedura penale, non ha violato il principio in dubio pro duriore. Esso ha altresì motivato la sua decisione in maniera sufficientemente dettagliata e precisa: questo soprattutto vista la palese assenza di appigli territoriali con il nostro Paese, per cui la censura secondo cui la decisione sarebbe lapidaria e non prenderebbe in considerazione tutta la documentazione presentata va parimenti respinta, atteso che non si può pretendere che le autorità di perseguimento penali svizzere, a fronte di una denuncia penale (per altro in inglese e quindi non in una delle lingue ufficiali svizzere, il che è già di per sé problematico alla luce dell’art. 3 cpv. 1 LOAP richiamato l’art. 67 CPP; v. URWYLER, Commentario basilese, 2a ediz. 2014, n. 12 ad art. 67 CPP) priva di sufficienti agganci con il nostro territorio, debba valutare nel dettaglio la rilevanza penale di condotte palesemente consumate solo all’estero. Del resto nel reclamo sono abbondanti i meri rinvii alla denuncia penale, senza che le ricorrenti si confrontino con talune importanti argomentazioni della decisione impugnata, la quale viene criticata in maniera piuttosto generica e senza apportare sostanziali argomenti che dimostrino in che misura i fatti denunciati siano sussumibili alle numerose fattispecie penali elencate. Invano si cerca ad esempio nel ricorso un passaggio in cui venga concretamente descritto quali precise azioni commesse in Svizzera dalle</w:t>
      </w:r>
    </w:p>
    <w:p>
      <w:r>
        <w:t>TPF 2018 143 143</w:t>
      </w:r>
    </w:p>
    <w:p>
      <w:r>
        <w:t>persone oggetto della denuncia integrino quale fattispecie penale, sia sotto il profilo oggettivo che soggettivo. Non merita infine ulteriore disamina nemmeno il rimprovero mosso al MPC di avere rinunciato per le difficoltà legate ad eventuali atti istruttori da compiere all’estero mediante rogatoria, visto che si tratta di un argomento evocato dall’autorità precedente a titolo essenzialmente abbondanziale. Data l’assenza di sufficienti indizi di reato è ovvio che il MPC neghi non da ultimo l’opportunità di investire risorse investigative per acclarare le relative fattispecie all’estero.</w:t>
      </w:r>
    </w:p>
    <w:p>
      <w:r>
        <w:t>TPF 2018 143</w:t>
      </w:r>
    </w:p>
    <w:p>
      <w:r>
        <w:t>24. Auszug aus dem Entscheid der Beschwerdekammer in Sachen A. gegen Bundesanwaltschaft vom 13. November 2018 (RR.2018.75)</w:t>
      </w:r>
    </w:p>
    <w:p>
      <w:r>
        <w:t>Internationale Rechtshilfe in Strafsachen; Schlussverfügung; Herausgabe von Protokollen der Einvernahmen beschuldigter Personen; Erklärungen im Hinblick auf das abgekürzte Verfahren</w:t>
      </w:r>
    </w:p>
    <w:p>
      <w:r>
        <w:t>Art. 80a Abs. 1, 80h lit. b IRSG, Art. 362 Abs. 4 StPO</w:t>
      </w:r>
    </w:p>
    <w:p>
      <w:r>
        <w:t>Zusammenfassung der Rechtsprechung zur Beschwerdelegitimation gegen die Herausgabe von Protokollen der Einvernahmen beschuldigter Personen ans Ausland (E. 2.2). Erklärungen im Hinblick auf das abgekürzte Verfahren können auch im Rahmen einer von der Staatsanwaltschaft an die Polizei delegierten Einvernahme abgegeben werden (E. 4.4.2). Erklärungen vor Einleitung des abgekürzten Verfahrens können jedenfalls so weit als im Hinblick auf ein solches abgegeben gelten, als sie nach dem Antrag um Durchführung desselben abgegeben worden sind (E. 4.4.3). Erklärungen im Hinblick auf das abgekürzte Verfahren können erst nach Vorliegen eines rechtskräftigen Urteils im abgekürzten Verfahren rechtshilfeweise herausgegeben werden (E. 4.5).</w:t>
      </w:r>
    </w:p>
    <w:p>
      <w:r>
        <w:t>Entraide internationale en matière pénale; décision de clôture; remise de procès- verbaux d’interrogatoire du prévenu; déclarations en vue de la procédure simplifiée</w:t>
      </w:r>
    </w:p>
    <w:p>
      <w:r>
        <w:t>Art. 80a al. 1, 80h let. b EIMP, art. 362 al. 4 CPP</w:t>
      </w:r>
    </w:p>
    <w:p>
      <w:r>
        <w:t>Résumé de la jurisprudence sur la qualité pour recourir contre la remise à l’étranger de procès-verbaux d’interrogatoire du prévenu (consid. 2.2). Des déclarations en vue de la procédure simplifiée peuvent aussi être faites dans le cadre d’une audition déléguée par le Ministère public à la police (consid.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