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55 vom 1. Januar 2016</w:t>
      </w:r>
    </w:p>
    <w:p>
      <w:r>
        <w:t>Bundesstrafgericht, 2016-01-01, DE</w:t>
      </w:r>
    </w:p>
    <w:p>
      <w:r>
        <w:rPr>
          <w:b/>
        </w:rPr>
        <w:t xml:space="preserve">Quelle: </w:t>
      </w:r>
      <w:r>
        <w:t>https://mcp.opencaselaw.ch/entscheid/bstger_TPF_2016_55</w:t>
      </w:r>
    </w:p>
    <w:p>
      <w:r>
        <w:t>FR: TPF TPF 2016 55 du 1 janvier 2016</w:t>
      </w:r>
    </w:p>
    <w:p>
      <w:r>
        <w:t>IT: TPF TPF 2016 55 del 1 gennaio 2016</w:t>
      </w:r>
    </w:p>
    <w:p>
      <w:pPr>
        <w:pStyle w:val="Heading2"/>
      </w:pPr>
      <w:r>
        <w:t>Regeste</w:t>
      </w:r>
    </w:p>
    <w:p>
      <w:r>
        <w:t>Verwaltungsstrafrecht. Durchsuchung von Papieren. Legitimation zur Einsprache.</w:t>
      </w:r>
    </w:p>
    <w:p>
      <w:pPr>
        <w:pStyle w:val="Heading2"/>
      </w:pPr>
      <w:r>
        <w:t>Volltext</w:t>
      </w:r>
    </w:p>
    <w:p>
      <w:r>
        <w:t>TPF 2016 55 55 d'«empêcher une investigation efficace et sereine de l'état de fait» ou encore de «porter atteinte aux intérêts de la partie plaignante» ne suffit pas (SAXER/THURNHEER, Basler Kommentar, 2e éd., Bâle 2014, no 15 ad art. 73 CPP).</w:t>
      </w:r>
    </w:p>
    <w:p>
      <w:r>
        <w:t>A cela s'ajoute que le MPC n'a, contrairement à ce qu'exige expressément le texte légal, pas limité la durée de la mesure. Il s'est contenté, ici encore, d'une vague allusion à la «première audition de B.», dont on ignore tout de la date, alors que ladite mesure «ist […] kalendarisch zu befristen» (SAXER/THURNHEER, op. cit., no 16 in fine ad art. 73 CPP). Au demeurant, et au vu du peu d'empressement du MPC à procéder à ladite mesure en septembre 2015 (v. supra résumé des faits) le «terme» fixé par le MPC n'en devient que plus flou.</w:t>
      </w:r>
    </w:p>
    <w:p>
      <w:r>
        <w:t>3.3 En définitive, la mesure ordonnée par le MPC à l'encontre de la recourante ne l'a pas été dans le respect des règles applicables.</w:t>
      </w:r>
    </w:p>
    <w:p>
      <w:r>
        <w:t>TPF 2016 55</w:t>
      </w:r>
    </w:p>
    <w:p>
      <w:r>
        <w:t>11. Auszug aus dem Beschluss der Beschwerdekammer in Sachen Swissmedic, Schweizerisches Heilmittelinstitut gegen A. vom 1. März 2016 (BE.2015.13)</w:t>
      </w:r>
    </w:p>
    <w:p>
      <w:r>
        <w:t>Verwaltungsstrafrecht. Durchsuchung von Papieren. Legitimation zur Einsprache.</w:t>
      </w:r>
    </w:p>
    <w:p>
      <w:r>
        <w:t>Art. 50 Abs. 3 VStrR</w:t>
      </w:r>
    </w:p>
    <w:p>
      <w:r>
        <w:t>Bestätigung der bisherigen Rechtsprechung, wonach im Anwendungsbereich des Verwaltungsstrafrechts – anders als unter der StPO – nur der jeweilige Inhaber von Unterlagen zur Einsprache gegen deren Durchsuchung legitimiert ist (E. 2.1-2.3).</w:t>
      </w:r>
    </w:p>
    <w:p>
      <w:r>
        <w:t>Droit pénal administratif. Perquisition visant des papiers. Qualité pour former opposition.</w:t>
      </w:r>
    </w:p>
    <w:p>
      <w:r>
        <w:t>Art. 50 al. 3 DPA</w:t>
      </w:r>
    </w:p>
    <w:p>
      <w:r>
        <w:t>Confirmation de la jurisprudence selon laquelle, dans le domaine du droit pénal administratif – à la différence de ce qui prévaut sous l'égide du CPP –</w:t>
      </w:r>
    </w:p>
    <w:p>
      <w:r>
        <w:t>TPF 2016 55 56 seul le détenteur des papiers à qualité pour s'opposer à leur perquisition (consid. 2.1-2.3).</w:t>
      </w:r>
    </w:p>
    <w:p>
      <w:r>
        <w:t>Diritto penale amministrativo. Perquisizione di carte. Legittimazione ad opporsi.</w:t>
      </w:r>
    </w:p>
    <w:p>
      <w:r>
        <w:t>Art. 50 cpv. 3 DPA</w:t>
      </w:r>
    </w:p>
    <w:p>
      <w:r>
        <w:t>Conferma della giurisprudenza in ambito di diritto penale amministrativo secondo cui – diversamente che nel campo di applicazione del CPP – soltanto il detentore di carte è legittimato ad opporsi alla loro perquisizione (consid. 2.1- 2.3).</w:t>
      </w:r>
    </w:p>
    <w:p>
      <w:r>
        <w:t>Zusammenfassung des Sachverhalts:</w:t>
      </w:r>
    </w:p>
    <w:p>
      <w:r>
        <w:t>Swissmedic führt seit 2013 ein Verwaltungsstrafverfahren u.a. gegen B. im Zusammenhang mit der C. AG wegen Verdachts der strafbaren Widerhandlung gegen das Bundesgesetz vom 15. Dezember 2000 über Arzneimittel und Medizinprodukte (Heilmittelgesetz [HMG]; SR 812.21) durch Herstellung und Inverkehrbringung von Transplantaten. B. ist Verwaltungsratspräsident der C. AG. Aufgrund einer Anzeige vom 24. Juli 2015 wurde das Strafverfahren auf die Verantwortlichen der Klinik D. AG ausgedehnt. Verwaltungsratspräsident der Klinik D. AG ist Dr. med. A. Mit Bezug auf die sachverhaltliche Grundlage des Tatvorwurfs geht es darum, dass in der Klinik D. AG Patienten Fettgewebe entnommen wird, welches bei der C. AG im Auftrag von E. SA, zu Injektionspräparaten verarbeitet wird. Anschliessend werden die Präparate dem Patienten wieder in der Klinik D. AG verabreicht. Dabei sollen in den verabreichten Präparaten keine vitalen Zellen mehr enthalten sein, sondern nur noch Extrakte der gewonnen Zellen. Gemäss Anzeige sollen die Präparate nicht nur Spendern selbst (autologe Anwendung), sondern auch Dritten (allogene Anwendung) verabreicht worden sein. Zeitlich nahe zu dieser Anzeige ging auch ein Rechtshilfeersuchen der Staatsanwaltschaft von Brescia, Italien, ein, aus welchem hervorgeht, dass die italienischen Behörden B. verdächtigen, Präparate nach Italien verbracht zu haben, womit sie dort verabreicht worden seien, u.a. mindestens in einem Fall einem Kind. Die Analyse hätte ergeben, dass die Präparate Substanzen wie Sodiumdodecylsulfat bzw. Natriumlaurylsulfat enthalten hätten, welche potentiell gesundheitsgefährdend sein könnten. Der Strafrechtsdienst von Swissmedic eröffnete am 1. September 2015 ein Verwaltungsstrafverfahren wegen Verstosses gegen Art. 86 Abs. 1 lit. b, evtl. i.V.m. Art. 87 Abs. 1 lit. f HMG evtl. i.V.m. Art. 86 Abs. 2 bzw. Art. 87 Abs. 2 HMG gegen A. und B. Am</w:t>
      </w:r>
    </w:p>
    <w:p>
      <w:r>
        <w:t>TPF 2016 55 57 28. September 2015 erfolgten koordinierte Durchsuchungen sowohl am Domizil der Klinik D. AG, und zwar bezüglich derselben sowie der E. SA, als auch am Privatdomizil von A. sowie am Privatdomizil von B. und am Domizil der C. AG. Am 8. Oktober 2015 wurden sämtliche bei der C. AG sichergestellten Unterlagen im Beisein von B. als Verwaltungsratspräsident der C. AG gesichtet (Triage), wobei eine detaillierte Auflistung der einzelnen Positionen erfolgte und bei jeder vermerkt wurde, Siegelung «nein»; mithin auf eine Siegelung verzichtet wurde. In der Folge erliess Swissmedic am 12. Oktober 2015 eine Beschlagnahmeverfügung und unterzog die Unterlagen der C. AG einer weiteren Sichtung, wobei Unterlagen, welche aufgrund dieser prima vista Durchsicht Patientendaten enthielten, von den übrigen Unterlagen getrennt wurden. Am 3. November 2015 erfolgte überdies eine Sichtung der bei der C. AG sichergestellten Präparate, welche teilweise mit Namen von Patienten versehen waren, wobei bei einzelnen Präparaten die Schrift verwischt gewesen sein soll. Mit Eingabe seines Rechtsvertreters vom 6. November 2015 liess A. einen Siegelungsantrag einreichen und verlangte die Siegelung der bei der C. AG beschlagnahmten Beweismittel und Unterlagen. A. liess geltend machen, er habe erst aus dem Entsiegelungsgesuch von Swissmedic bezüglich der Unterlagen bei der Klinik D. AG vom 16. Oktober 2015 erfahren, dass Unterlagen der C. AG beschlagnahmt worden seien. Diese enthielten Patientendaten der Klinik D. AG und A. als Arzt könne sich diesbezüglich auf das Arztgeheimnis berufen, weshalb er zum Siegelungsantrag legitimiert sei. Swissmedic beantragte in der Folge bei der Beschwerdekammer des Bundesstrafgerichts die Entsiegelung der bei der C. AG beschlagnahmten und versiegelten Unterlagen.</w:t>
      </w:r>
    </w:p>
    <w:p>
      <w:r>
        <w:t>Die Beschwerdekammer stellte fest, dass die Voraussetzungen für eine Siegelung nicht gegeben waren, und trat auf das Gesuch nicht ein.</w:t>
      </w:r>
    </w:p>
    <w:p>
      <w:r>
        <w:t>Aus den Erwägungen:</w:t>
      </w:r>
    </w:p>
    <w:p>
      <w:r>
        <w:t>2. 2.1 Vorab stellt sich die Frage nach der Legitimation des Gesuchsgegners, sich gegen die Durchsuchung der bei der C. AG sichergestellten Unterlagen und anderen Beweismittel (Präparate) mit einem Siegelungsgesuch zur Wehr zu setzen. Unbestritten ist der Gesuchsgegner nicht selbst Inhaber der bei der C. AG sichergestellten Unterlagen und Beweismittel. Unbestritten ist auch, dass der Verwaltungsratspräsident der C. AG sich gegen die Durchsuchung derselben nicht ausgesprochen hat. Der Gesuchsgegner stellt</w:t>
      </w:r>
    </w:p>
    <w:p>
      <w:r>
        <w:t>TPF 2016 55 58 sich jedoch auf den Standpunkt, als verantwortlicher Arzt der Klinik D. AG habe er ein schutzwürdiges Interesse an der Wahrung des Arztgeheimnisses und sei damit aufgrund der bundesgerichtlichen Praxis in BGE 140 IV 28 selbstständig legitimiert, Einsprache gegen die Durchsuchung zu erheben.</w:t>
      </w:r>
    </w:p>
    <w:p>
      <w:r>
        <w:t>2.2 Das Bundesgericht hat in BGE 140 IV 28 mit einlässlicher Begründung (E. 4.3.1–4.3.8) dargelegt, dass im System der StPO nicht mehr nur der Inhaber von Unterlagen (wie noch in BGE 127 II 151 E. 4.c/aa S. 155; Urteil des Bundesgerichts 1S.13/2006 vom 27. September 2006, E. 1.4.1 [«secondo la costante giurisprudenza»]), sondern auch Weitere, welche unabhängig der Besitzverhältnisse ein rechtlich geschütztes Interesse an den Unterlagen oder der Geheimhaltung des Inhalts hätten, legitimiert sind, die Siegelung der sichergestellten Unterlagen zu verlangen. Das Bundesgericht begründete seinen Entscheid einerseits mit dem unterschiedlichen Wortlaut von Art. 248 Abs. 1 StPO in den verschiedenen Amtssprachen («Inhaber», gleich «detentore», anders «intéressé»; in E. 4.3.2) sowie dem allerdings nicht klaren deutschen Text der Botschaft vom 21. Dezember 2005 zur Vereinheitlichung des Strafprozessrechts (nachfolgend «Botschaft»; in E. 4.3.3, siehe BBl 2006 S. 1239). Im Zentrum des bundesgerichtlichen Entscheids stehen jedoch systematische und teleologische Gesichtspunkte. So ist Art. 248 StPO mit Bezug auf den Kreis der berechtigten Personen auf die Beschlagnahme nach den Anforderungen von Art. 264 Abs. 3 StPO möglichst abzustimmen. Eine auf den Inhaber der Aufzeichnungen begrenzte Legitimation stünde im Widerspruch zu Art. 264 Abs. 1 StPO, denn dieser wurde im Gesetzgebungsverfahren (im Nationalrat) dahin gehend präzisiert, dass das Beschlagnahmeverbot ungeachtet des Orts gilt, wo sich die Unterlagen befinden (E. 4.3.4). Schliesslich begründet das Bundesgericht die Erweiterung der Legitimation auch mit der Zweckmässigkeit der Vermeidung von Doppelspurigkeiten und Abgrenzungsproblemen (E. 4.3.6). Damit stellt sich die Frage, ob auch im Anwendungsbereich von Art. 50 VStrR eine über den Wortlaut der Bestimmung hinausgehende erweiterte Legitimation von Personen mit schutzwürdigen Interessen besteht, Siegelung zu verlangen.</w:t>
      </w:r>
    </w:p>
    <w:p>
      <w:r>
        <w:t>2.3 Auch nach Inkrafttreten der Eidgenössischen StPO und des Bundesgesetzes vom 19. März 2010 über die Organisation der Strafbehörden des Bundes (Strafbehördenorganisationsgesetz, StBOG; SR 173.71) am 1. Januar 2011 bleibt das VStrR auf Fälle der Bundesgerichtsbarkeit in Verwaltungsstrafsachen weiterhin anwendbar. Gemäss Botschaft hat der Gesetzgeber das Verwaltungsstrafverfahren bewusst von der Vereinheitlichung ausgenommen (BBl 2006 S. 1095 f.). Er</w:t>
      </w:r>
    </w:p>
    <w:p>
      <w:r>
        <w:t>TPF 2016 55 59 hat das VStrR zwar in Hinblick auf die neue StPO angepasst, allerdings eben nur partiell. Die Bestimmungen der StPO sind grundsätzlich nur analog anwendbar, soweit das VStrR einzelne Fragen nicht abschliessend regelt (Urteil des Bundesgerichts 1B_672/2012 vom 8. Mai 2013, E. 1.2; auch GFELLER, Basler Kommentar, 2. Aufl., Basel 2014, Vor Art. 241–254 StPO N. 67). Bei Vorliegen einer Regelung im VStrR können deshalb nicht explizit übernommene Regelungen der StPO nicht einfach über die Rechtsprechung eingeführt werden, einfach weil sie richtiger oder der abstrakten Interessenlage adäquater erscheinen (KELLER, Grundrechtskonformität und Tauglichkeit des Verwaltungsstrafrechts als Prozessgesetz, in: Eicker [Hrsg.], Aktuelle Herausforderungen für die Praxis im Verwaltungsstrafverfahren, Bern 2013, S. 168; im Ergebnis auch der Beschluss des Bundesstrafgerichts BV.2012.1 vom 15. März 2012, E. 5.3.3 betreffend die Erweiterung von Beschlagnahmemöglichkeiten auf Verfahrenskosten entsprechend der StPO). Anders als für andere Bereiche (siehe die Auflistung der ins VStrR übernommenen Bestimmungen der StPO bei KELLER, a.a.O., S. 168 f.) hat der Bundesgesetzgeber für die Durchsuchung von Papieren nicht einfach auf die Art. 246 ff. StPO verwiesen. Mit Bezug auf Art. 50 VStrR hielt das Bundesgericht selbst fest, dass der Gesetzgeber bei Erlass der StPO keine Anpassung von Art. 50 VStrR an Art. 248 Abs. 2 StPO (20-Tages-Frist für Entsiegelungsgesuche) vorgenommen habe, weshalb diese Frist keine Geltung habe (Urteil des Bundesgerichts 1B_672/2012 vom 8. Mai 2013, E. 3.1). Der Gesetzgeber hat überdies bei einer weiteren Anpassung sowohl des VStrR als auch der StPO durch das Bundesgesetz vom 28. September 2012 über die Anpassung von verfahrensrechtlichen Bestimmungen zum anwaltlichen Berufsgeheimnis (AS 2013 847; BBl 2011 S. 8181) Art. 50 VStrR in der damaligen und bisherigen Form belassen, obschon er in Art. 46 Abs. 3 VStrR ein Beschlagnahmeverbot für Anwaltsunterlagen ins Gesetz aufgenommen hat. Eine analoge Anwendung der StPO Regelung fällt somit für die vorliegende Fragestellung ausser Betracht, weil das VStrR in Art. 50 die Durchsuchung von Papieren abschliessend regelt. Für das Verwaltungsstrafverfahren fehlt es entsprechend an einer Bestimmung wie den Art. 264 Abs. 1 und 3 StPO. Aufgrund des zuvor Aufgeführten wird klar, dass es sich dabei weder um ein Versehen noch um eine Lücke noch in Anbetracht des klaren Wortlauts von Art. 50 Abs. 3 VStrR («Inhaber», «détenteur», «detentore») um eine blosse Auslegungsfrage handelt. Damit ist an der bisherigen Rechtsprechung festzuhalten, wonach nur der eigentliche Inhaber der Aufzeichnungen legitimiert ist, die Siegelung zu verlangen (auch KELLER, a.a.O., S. 187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