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52 vom 25. Februar 2016</w:t>
      </w:r>
    </w:p>
    <w:p>
      <w:r>
        <w:t>Bundesstrafgericht, 2016-02-25, FR</w:t>
      </w:r>
    </w:p>
    <w:p>
      <w:r>
        <w:rPr>
          <w:b/>
        </w:rPr>
        <w:t xml:space="preserve">Quelle: </w:t>
      </w:r>
      <w:r>
        <w:t>https://mcp.opencaselaw.ch/entscheid/bstger_TPF_2016_52</w:t>
      </w:r>
    </w:p>
    <w:p>
      <w:r>
        <w:t>FR: TPF TPF 2016 52 du 25 février 2016</w:t>
      </w:r>
    </w:p>
    <w:p>
      <w:r>
        <w:t>IT: TPF TPF 2016 52 del 25 febbraio 2016</w:t>
      </w:r>
    </w:p>
    <w:p>
      <w:pPr>
        <w:pStyle w:val="Heading2"/>
      </w:pPr>
      <w:r>
        <w:t>Regeste</w:t>
      </w:r>
    </w:p>
    <w:p>
      <w:r>
        <w:t>Der anzeigenden Person auferlegte Geheimhaltungspflicht. Gesetzliche Voraussetzungen. Erfordernis einer konkreten Gefahr.</w:t>
      </w:r>
    </w:p>
    <w:p>
      <w:pPr>
        <w:pStyle w:val="Heading2"/>
      </w:pPr>
      <w:r>
        <w:t>Erwägungen</w:t>
      </w:r>
    </w:p>
    <w:p>
      <w:r>
        <w:rPr>
          <w:b/>
        </w:rPr>
        <w:t>E. 3</w:t>
      </w:r>
    </w:p>
    <w:p>
      <w:r>
        <w:t>La recourante estime que la décision entreprise violerait l'art. 73 al. 2 CPP, ce que conteste le MPC.</w:t>
      </w:r>
    </w:p>
    <w:p>
      <w:r>
        <w:rPr>
          <w:b/>
        </w:rPr>
        <w:t>E. 3.1</w:t>
      </w:r>
    </w:p>
    <w:p>
      <w:r>
        <w:t>Selon cette disposition,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pareille obligation devant être limitée dans le temps.</w:t>
      </w:r>
    </w:p>
    <w:p>
      <w:r>
        <w:t>La question de savoir si, comme le soutient la recourante en se fondant sur un avis – isolé – exprimé en doctrine (ANTENEN, Commentaire romand, Bâle 2011, no 8 ad art. 73 CPP), l'interdiction prononcée sur la base de l'art. 73 al. 2 CPP n'empêcherait pas son destinataire de communiquer à propos de la seule ouverture de la procédure, peut demeurer indécise dès lors que la recourante obtient en tout état gain de cause, ainsi que cela ressort des considérants qui suivent.</w:t>
      </w:r>
    </w:p>
    <w:p>
      <w:r>
        <w:rPr>
          <w:b/>
        </w:rPr>
        <w:t>E. 3.2</w:t>
      </w:r>
    </w:p>
    <w:p>
      <w:r>
        <w:t>En l'espèce, le MPC fonde la mesure ici entreprise sur les allégations suivantes:</w:t>
      </w:r>
    </w:p>
    <w:p>
      <w:r>
        <w:t>«L'ouverture de la procédure a certes eu lieu en 2013, cependant, la procédure en est au stade initial. A ce jour, l'administration des preuves principales est en cours et n'est pas encore achevé[e]. Des actes d'instruction, plus particulièrement des auditions doivent être effectués. Il appartient également à la direction de la procédure de délimiter les composantes politiques passées ou actuelles de la présente procédure pénale. […] Partant, une médiatisation de la procédure pénale pourrait compromettre la capacité d'action de la procédure, empêcher une investigation efficace et sereine de l'état de fait, voire se manifester comme un danger réel pour la procédure en question. Tout dommage éventuel par une médiatisation inutile pourrait influencer de manière négative la procédure pénale, affecter l'investigation, et porter atteinte aux intérêts de la partie plaignante et finalement aux intérêts de la dénonciatrice.»</w:t>
      </w:r>
    </w:p>
    <w:p>
      <w:r>
        <w:t>Une telle motivation ne permet pas de justifier la mesure imposée à la recourante. Elle consiste en effet en de simples généralités ne répondant aucunement – in concreto – à la question de savoir si le «but de la procédure», respectivement un «intérêt privé» exigerait véritablement d'imposer une interdiction de communiquer à la recourante. Or il est constant qu'un seul risque abstrait – tel qu'en définitive allégué en l'espèce – susceptible</w:t>
      </w:r>
    </w:p>
    <w:p>
      <w:r>
        <w:t>TPF 2016 55 55 d'«empêcher une investigation efficace et sereine de l'état de fait» ou encore de «porter atteinte aux intérêts de la partie plaignante» ne suffit pas (SAXER/THURNHEER, Basler Kommentar, 2e éd., Bâle 2014, no 15 ad art. 73 CPP).</w:t>
      </w:r>
    </w:p>
    <w:p>
      <w:r>
        <w:t>A cela s'ajoute que le MPC n'a, contrairement à ce qu'exige expressément le texte légal, pas limité la durée de la mesure. Il s'est contenté, ici encore, d'une vague allusion à la «première audition de B.», dont on ignore tout de la date, alors que ladite mesure «ist […] kalendarisch zu befristen» (SAXER/THURNHEER, op. cit., no 16 in fine ad art. 73 CPP). Au demeurant, et au vu du peu d'empressement du MPC à procéder à ladite mesure en septembre 2015 (v. supra résumé des faits) le «terme» fixé par le MPC n'en devient que plus flou.</w:t>
      </w:r>
    </w:p>
    <w:p>
      <w:r>
        <w:rPr>
          <w:b/>
        </w:rPr>
        <w:t>E. 3.3</w:t>
      </w:r>
    </w:p>
    <w:p>
      <w:r>
        <w:t>En définitive, la mesure ordonnée par le MPC à l'encontre de la recourante ne l'a pas été dans le respect des règles applicables.</w:t>
      </w:r>
    </w:p>
    <w:p>
      <w:r>
        <w:t>TPF 2016 55</w:t>
      </w:r>
    </w:p>
    <w:p>
      <w:r>
        <w:t>11. Auszug aus dem Beschluss der Beschwerdekammer in Sachen Swissmedic, Schweizerisches Heilmittelinstitut gegen A. vom 1. März 2016 (BE.2015.13)</w:t>
      </w:r>
    </w:p>
    <w:p>
      <w:r>
        <w:t>Verwaltungsstrafrecht. Durchsuchung von Papieren. Legitimation zur Einsprache.</w:t>
      </w:r>
    </w:p>
    <w:p>
      <w:r>
        <w:t>Art. 50 Abs. 3 VStrR</w:t>
      </w:r>
    </w:p>
    <w:p>
      <w:r>
        <w:t>Bestätigung der bisherigen Rechtsprechung, wonach im Anwendungsbereich des Verwaltungsstrafrechts – anders als unter der StPO – nur der jeweilige Inhaber von Unterlagen zur Einsprache gegen deren Durchsuchung legitimiert ist (E. 2.1-2.3).</w:t>
      </w:r>
    </w:p>
    <w:p>
      <w:r>
        <w:t>Droit pénal administratif. Perquisition visant des papiers. Qualité pour former opposition.</w:t>
      </w:r>
    </w:p>
    <w:p>
      <w:r>
        <w:t>Art. 50 al. 3 DPA</w:t>
      </w:r>
    </w:p>
    <w:p>
      <w:r>
        <w:t>Confirmation de la jurisprudence selon laquelle, dans le domaine du droit pénal administratif – à la différence de ce qui prévaut sous l'égide du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