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17 vom 19. November 2015</w:t>
      </w:r>
    </w:p>
    <w:p>
      <w:r>
        <w:t>Bundesstrafgericht, 2015-11-19, DE</w:t>
      </w:r>
    </w:p>
    <w:p>
      <w:r>
        <w:rPr>
          <w:b/>
        </w:rPr>
        <w:t xml:space="preserve">Quelle: </w:t>
      </w:r>
      <w:r>
        <w:t>https://mcp.opencaselaw.ch/entscheid/bstger_TPF_2016_17</w:t>
      </w:r>
    </w:p>
    <w:p>
      <w:r>
        <w:t>FR: TPF TPF 2016 17 du 19 novembre 2015</w:t>
      </w:r>
    </w:p>
    <w:p>
      <w:r>
        <w:t>IT: TPF TPF 2016 17 del 19 novembre 2015</w:t>
      </w:r>
    </w:p>
    <w:p>
      <w:pPr>
        <w:pStyle w:val="Heading2"/>
      </w:pPr>
      <w:r>
        <w:t>Regeste</w:t>
      </w:r>
    </w:p>
    <w:p>
      <w:r>
        <w:t>Umwandlung einer verwaltungsstrafrechtlichen Busse in eine Ersatzfreiheitsstrafe.</w:t>
      </w:r>
    </w:p>
    <w:p>
      <w:pPr>
        <w:pStyle w:val="Heading2"/>
      </w:pPr>
      <w:r>
        <w:t>Erwägungen</w:t>
      </w:r>
    </w:p>
    <w:p>
      <w:r>
        <w:rPr>
          <w:b/>
        </w:rPr>
        <w:t>E. 17</w:t>
      </w:r>
    </w:p>
    <w:p>
      <w:r>
        <w:t>TPF 2016 17</w:t>
      </w:r>
    </w:p>
    <w:p>
      <w:r>
        <w:t>4. Auszug aus der Verfügung der Strafkammer in Sachen Bundesanwaltschaft und Eidgenössisches Finanzdepartement gegen A. vom</w:t>
      </w:r>
    </w:p>
    <w:p>
      <w:r>
        <w:rPr>
          <w:b/>
        </w:rPr>
        <w:t>E. 19</w:t>
      </w:r>
    </w:p>
    <w:p>
      <w:r>
        <w:t>als Finanzintermediär generierte. Nicht beigepflichtet werden kann dem EFD deswegen, wenn es festhält, es hätten die im Urteilszeitpunkt massgeblichen Parameter in die Strafzumessung Eingang gefunden. Bei näherem Hinsehen ist der Gesuchsgegner schon bei Ausfällung der Verbindungsbusse nicht (mehr) in der Lage gewesen, diese zu bezahlen. Dass er es auch zum jetzigen Zeitpunkt nicht ist, kann ihm nicht zum Vorwurf gemacht werden.</w:t>
      </w:r>
    </w:p>
    <w:p>
      <w:r>
        <w:t>c) Art. 10 Abs. 2 VStrR sieht den Ausschluss der Umwandlung nur im Fall der unverschuldeten nachträglichen Unmöglichkeit zur Bezahlung der Busse vor. Namentlich in Betracht fallen der unvorhergesehene Arbeitsplatzverlust oder Ausgaben aufgrund von Krankheit oder Unfall der verurteilten Person oder von ihr wirtschaftlich abhängiger Personen (EICKER/FRANK/ ACHERMANN, Verwaltungsstrafrecht und Verwaltungsstrafverfahrensrecht, Bern 2012, S. 80; mit Verweis auf Art. 49 Ziff. 3 aStGB: HAURI, Verwaltungsstrafrecht [VStrR], Bern 1998, S. 26; hinsichtlich Art. 36 StGB: CIMICHELLA, Die Geldstrafe im Schweizer Strafrecht, Zürcher Diss., Bern 2006, S. 255 f.). Aus offensichtlichen Gründen beschlägt die Norm nicht auch die vorliegende Konstellation, in welcher eine (unverschuldete) ursprüngliche Unmöglichkeit vorliegt, deren Ursachen nicht in äusseren Fremdeinflüssen liegen. Eine andere Betrachtungsweise liefe darauf hinaus, dass de facto jede mit einer verwaltungsstrafrechtlichen (Verbindungs-)Busse belegte verurteilte Person durch Nichtbezahlen eine auf den Strafzumessungspunkt beschränkte und gesetzlich nicht vorgesehene Inhaltskontrolle ihres Strafbescheides erzwingen könnte. Dies wäre mit dem Institut der materiellen Rechtskraft nicht vereinbar. Es oblag dem Gesuchsgegner gegen den Strafbescheid ein Rechtsmittel zu ergreifen, was er unterliess. Das Umwandlungsverfahren darf nicht dazu führen, das rechtskräftige Geldstrafenurteil in Wiedererwägung zu ziehen (DOLGE, Basler Kommentar, 3. Aufl., Basel 2013, Art. 36 StGB N. 22). Die Voraussetzungen der Art. 91 Abs. 1 bzw. Art. 10 Abs. 2 VStrR zur Umwandlung der Busse in eine Ersatzfreiheitsstrafe sind somit gegeben. Nachdem der gesamte Bussenbetrag von Fr. 6'800.– ausstehend ist, ist bei einem Umwandlungssatz von einem Tag Freiheitsentzug pro Fr. 30.– Bussenbetrag und unter Berücksichtigung der Höchstdauer von drei Monaten Freiheitsentzug (Art. 10 Abs. 3 VStrR) die Umwandlungsstrafe auf 90 Tage Freiheitsstrafe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