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110 vom 14. Oktober 2015</w:t>
      </w:r>
    </w:p>
    <w:p>
      <w:r>
        <w:t>Bundesstrafgericht, 2015-10-14, DE</w:t>
      </w:r>
    </w:p>
    <w:p>
      <w:r>
        <w:rPr>
          <w:b/>
        </w:rPr>
        <w:t xml:space="preserve">Quelle: </w:t>
      </w:r>
      <w:r>
        <w:t>https://mcp.opencaselaw.ch/entscheid/bstger_TPF_2015_110</w:t>
      </w:r>
    </w:p>
    <w:p>
      <w:r>
        <w:t>FR: TPF TPF 2015 110 du 14 octobre 2015</w:t>
      </w:r>
    </w:p>
    <w:p>
      <w:r>
        <w:t>IT: TPF TPF 2015 110 del 14 ottobre 2015</w:t>
      </w:r>
    </w:p>
    <w:p>
      <w:pPr>
        <w:pStyle w:val="Heading2"/>
      </w:pPr>
      <w:r>
        <w:t>Regeste</w:t>
      </w:r>
    </w:p>
    <w:p>
      <w:r>
        <w:t>Internationale Rechtshilfe in Steuerstrafsachen. Abgabebetrug. Gewerbsmässig verübte Hinterziehung der Mehrwertsteuer. Grundsatz der Spezialität.</w:t>
      </w:r>
    </w:p>
    <w:p>
      <w:pPr>
        <w:pStyle w:val="Heading2"/>
      </w:pPr>
      <w:r>
        <w:t>Erwägungen</w:t>
      </w:r>
    </w:p>
    <w:p>
      <w:r>
        <w:rPr>
          <w:b/>
        </w:rPr>
        <w:t>E. 22</w:t>
      </w:r>
    </w:p>
    <w:p>
      <w:r>
        <w:t>Auszug aus dem Entscheid der Beschwerdekammer in Sachen Anwaltskanzlei A. AG, Rechtsanwalt B. und Rechtsanwältin C. gegen Staatsanwaltschaft des Kantons Zug vom 21. Oktober 2015 (RR.2015.39, RR.2015.40, RR.2015.41)</w:t>
      </w:r>
    </w:p>
    <w:p>
      <w:r>
        <w:t>Internationale Rechtshilfe in Strafsachen. Herausgabe von Beweismitteln. Anwaltsgeheimnis. Notargeheimnis. Tätigkeit als Escrow-Agent. Substanziierungspflicht von Berufsgeheimnisträgern im Rechtshilfeverfahren.</w:t>
      </w:r>
    </w:p>
    <w:p>
      <w:r>
        <w:t>Art. 9 IRSG, Art. 42 BZP, Art. 13 BGFA</w:t>
      </w:r>
    </w:p>
    <w:p>
      <w:r>
        <w:t>Berufsfremde Aktivitäten wie Vermögensverwaltung, Verwaltungsratsmandate oder Geschäftsführung sind nicht vom Berufsgeheimnis geschützte Tätigkeiten des Anwalts (E. 6.3.1, 6.3.2 und 6.4.5).</w:t>
      </w:r>
    </w:p>
    <w:p>
      <w:r>
        <w:t>Die Escrow-Tätigkeit eines Anwalts zur Abwicklung eines Vertrages oder einzig im Zusammenhang mit einer wirtschaftlichen Tätigkeit wie der Vermögensverwaltung, ist nicht vom Berufsgeheimnis geschützt (E. 6.4.2).</w:t>
      </w:r>
    </w:p>
    <w:p>
      <w:r>
        <w:t>Vom Notargeheimnis ist insbesondere die Beratungstätigkeit des Notars erfasst (E. 6.3.3).</w:t>
      </w:r>
    </w:p>
    <w:p>
      <w:r>
        <w:t>Insbesondere besteht im Rechtshilfe- bzw. Beschwerdeverfahren eine weitergehende Substanziierungspflicht zum Anwaltsgeheimnis als im nationalen Strafverfahren (E. 7.2 und 7.3).</w:t>
      </w:r>
    </w:p>
    <w:p>
      <w:r>
        <w:t>Entraide judiciaire internationale en matière pénale. Remise de moyens de preuve. Secret professionnel de l'avocat. Secret professionnel du notaire. Activité déployée en tant qu'agent «Escrow». Devoir de motivation incombant aux détenteurs du secret professionnel dans le cadre de la procédure d'entraide.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