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2014 51 vom 1. Januar 2014</w:t>
      </w:r>
    </w:p>
    <w:p>
      <w:r>
        <w:t>Bundesstrafgericht, 2014-01-01, DE</w:t>
      </w:r>
    </w:p>
    <w:p>
      <w:r>
        <w:rPr>
          <w:b/>
        </w:rPr>
        <w:t xml:space="preserve">Quelle: </w:t>
      </w:r>
      <w:r>
        <w:t>https://mcp.opencaselaw.ch/entscheid/bstger_TPF_2014_51</w:t>
      </w:r>
    </w:p>
    <w:p>
      <w:r>
        <w:t>FR: TPF TPF 2014 51 du 1 janvier 2014</w:t>
      </w:r>
    </w:p>
    <w:p>
      <w:r>
        <w:t>IT: TPF TPF 2014 51 del 1 gennaio 2014</w:t>
      </w:r>
    </w:p>
    <w:p>
      <w:pPr>
        <w:pStyle w:val="Heading2"/>
      </w:pPr>
      <w:r>
        <w:t>Regeste</w:t>
      </w:r>
    </w:p>
    <w:p>
      <w:r>
        <w:t>Bedingter Vollzug der Umwandlungsstrafe.</w:t>
      </w:r>
    </w:p>
    <w:p>
      <w:pPr>
        <w:pStyle w:val="Heading2"/>
      </w:pPr>
      <w:r>
        <w:t>Erwägungen</w:t>
      </w:r>
    </w:p>
    <w:p>
      <w:r>
        <w:rPr>
          <w:b/>
        </w:rPr>
        <w:t>E. 2</w:t>
      </w:r>
    </w:p>
    <w:p>
      <w:r>
        <w:t>Im vorliegenden Fall hat die Eidgenossenschaft die Betreibung eingeleitet und sind für die Stockwerkeinheiten der betroffenen Liegenschaft und für die Miteigentumsanteile an solchen Verfügungsbeschränkungen errichtet worden. Diese gehen den strafprozessualen Massnahmen zeitlich und damit hierarchisch nach. Die Ersteren können daher aufgehoben werden, ohne dass die Zwangsvollstreckung durch den Grundeigentümer durchkreuzt zu werden vermöchte. Sie müssen freilich auch aufgehoben werden, damit das Betreibungsamt die Liegenschaftsanteile verwerten kann. Der Ablauf der Frist zur Beschwerde gegen die betreibungsrechtliche Pfändung braucht nicht abgewartet zu werden; denn das Rechtsmittel hat keine aufschiebende Wirkung (Art. 36 SchKG).</w:t>
      </w:r>
    </w:p>
    <w:p>
      <w:r>
        <w:t>Nach dem Gesagten ist die in Ziff. I/2 lit. b des Entscheids vom 27. Juli 2010 ausgesprochene Verfügungsbeschränkung aufzuheben.</w:t>
      </w:r>
    </w:p>
    <w:p>
      <w:r>
        <w:rPr>
          <w:b/>
        </w:rPr>
        <w:t>E. 3</w:t>
      </w:r>
    </w:p>
    <w:p>
      <w:r>
        <w:t>Abs. 3 aStGB auch die Möglichkeit des bedingten Vollzugs der Umwandlungsstrafe vor. Mit Inkrafttreten des revidierten Allgemeinen Teils des StGB haben sich die Voraussetzungen zur Gewährung des bedingten Strafvollzugs jedoch geändert und sind neu in Art. 42 StGB zu finden, weshalb das Verhältnis zwischen den beiden Bestimmungen (Art. 10 Abs. 2 VStrR und Art. 42 StGB) als ungeklärt gelten muss. Da das neue Sanktionensystem des StGB den bedingten Vollzug einer Ersatzfreiheitsstrafe nicht mehr ausdrücklich erwähnt, darf darauf geschlossen werden, dass der Gesetzgeber einen solchen bedingten Vollzug auch nicht mehr wollte. Dies spricht dafür, dass der bedingte Strafvollzug einer Ersatzfreiheitsstrafe auch im Verwaltungsstrafrecht nicht mehr gewährt werden sollte (zum Ganzen EICKER/FRANK/ ACHERMANN, Verwaltungsstrafrecht und Verwaltungsstrafverfahrensrecht, Bern 2012, S. 80). Schliesslich wäre es in diesem Sinne stossend, wenn es der Verurteilte in der Hand hätte, sich dem Vollzug der Busse (unbedingt) zu entziehen, indem er diese nicht bezahlt und stattdessen eine bedingte Freiheitsstrafe erhielte. Die Strafrechtspflege verlöre an Glaubwürdigkeit, wenn nach den in Art. 35 und 36 StGB differenziert angebotenen Lösungsvarianten am Ende für den Verurteilten die Möglichkeit bestünde,</w:t>
      </w:r>
    </w:p>
    <w:p>
      <w:r>
        <w:t>TPF 2014 54 54 überhaupt keine Leistung zu erbringen (TRECHSEL/KELLER, Schweizerisches Strafgesetzbuch, Praxiskommentar, 2. Aufl., Zürich/St. Gallen 2013, Art. 36 StGB N. 11).</w:t>
      </w:r>
    </w:p>
    <w:p>
      <w:r>
        <w:rPr>
          <w:b/>
        </w:rPr>
        <w:t>E. 3.1</w:t>
      </w:r>
    </w:p>
    <w:p>
      <w:r>
        <w:t>Gemäss Art. 10 Abs. 2 VStrR sind die Bestimmungen über den bedingten Strafvollzug gemäss Art. 41 aStGB (neu: Art. 42 StGB) auch auf die Umwandlungsstrafe anwendbar, wobei die Gewährung des bedingten Strafvollzugs nicht zulässig ist, wenn der Verurteilte die Widerhandlung vorsätzlich begangen hat und wenn zur Zeit der Tat noch nicht fünf Jahre vergangen sind, seit er wegen einer Widerhandlung gegen das gleiche Verwaltungsgesetz verurteilt wurde und diese Widerhandlung nicht eine blosse Ordnungswidrigkeit war.</w:t>
      </w:r>
    </w:p>
    <w:p>
      <w:r>
        <w:t>Die objektiven Grenzen des bedingten Strafvollzugs (Art. 42 Abs. 1 StGB) sind nicht überschritten. Die subjektiven Voraussetzungen des bedingten Strafvollzugs nach StGB sind erfüllt, wenn eine unbedingte Strafe nicht notwendig erscheint, um den Täter von der Begehung weiterer Verbrechen</w:t>
      </w:r>
    </w:p>
    <w:p>
      <w:r>
        <w:t>TPF 2014 51 53 oder Vergehen abzuhalten. Die Gewährung setzt nach neuem Recht nicht mehr die positive Erwartung voraus, der Täter werde sich bewähren, sondern es genügt die Abwesenheit der Befürchtung, dass er sich nicht bewähren werde. Der Strafaufschub ist deshalb im Normalfall die Regel, von der grundsätzlich nur bei ungünstiger Prognose abgewichen werden darf; er hat im breiten Mittelfeld der Ungewissheit den Vorrang (Botschaft zur Änderung des Schweizerischen Strafgesetzbuches und des Militärstrafgesetzes sowie zu einem Bundesgesetz über das Jugendstrafrecht vom 21. September 1998, BBl 1999 S. 1979, 2049; BGE 134 IV 82 E. 4.2; 134 IV 1 E. 4.4.2). Bei der Prüfung, ob der Verurteilte für ein dauerndes Wohlverhalten Gewähr bietet, ist eine Gesamtwürdigung aller wesentlichen Umstände vorzunehmen, namentlich der Tatumstände und der Täterpersönlichkeit sowie aller wesentlichen weiteren Tatsachen, die gültige Schlüsse auf den Charakter des Täters und die Aussichten seiner Bewährung zulassen (BGE 134 IV 1 E. 4.2.1).</w:t>
      </w:r>
    </w:p>
    <w:p>
      <w:r>
        <w:t>Bei der Prüfung der Voraussetzungen des bedingten Strafvollzugs im Rahmen von Art. 10 Abs. 2 VStrR ist jedoch folgende Besonderheit zu beachten: Für die Gewährung des bedingten Strafvollzugs verweist Art. 10 Abs. 2 VStrR noch auf den inzwischen revidierten Art. 41 aStGB, der generelle Voraussetzungen normierte, unter denen ein bedingter Strafvollzug gewährt werden konnte. Das StGB sah früher in Art. 49 Ziffer</w:t>
      </w:r>
    </w:p>
    <w:p>
      <w:r>
        <w:rPr>
          <w:b/>
        </w:rPr>
        <w:t>E. 3.2</w:t>
      </w:r>
    </w:p>
    <w:p>
      <w:r>
        <w:t>Trotz dieser – zutreffenden – Lehrmeinung (E 3.1) ist der Richter an das Legalitätsprinzip gebunden, und die Voraussetzungen des bedingten Strafvollzugs sind im Rahmen von Art. 10 Abs. 2 VStrR vorliegend zu prüfen. […]</w:t>
      </w:r>
    </w:p>
    <w:p>
      <w:r>
        <w:t>TPF 2014 54</w:t>
      </w:r>
    </w:p>
    <w:p>
      <w:r>
        <w:t>12. Auszug aus dem Beschluss der Beschwerdekammer in Sachen A. gegen Eidgenössisches Finanzdepartement vom 3. Juli 2014 (BV.2014.18)</w:t>
      </w:r>
    </w:p>
    <w:p>
      <w:r>
        <w:t>Verwaltungsstrafrecht. Eröffnung der Untersuchung. Beschwerdelegitimation.</w:t>
      </w:r>
    </w:p>
    <w:p>
      <w:r>
        <w:t>Art. 28 Abs. 1 VStrR</w:t>
      </w:r>
    </w:p>
    <w:p>
      <w:r>
        <w:t>Die Eröffnung einer Verwaltungsstrafuntersuchung bewirkt auf Seiten der beschuldigten Person keine Beschwer und ist von dieser somit nicht anfechtbar. Dasselbe gilt auch für den Fall der Beschwerde gegen die Abweisung eines kurz nach Eröffnung gestellten Antrags auf Einstellung des Verfahrens (E. 1.3).</w:t>
      </w:r>
    </w:p>
    <w:p>
      <w:r>
        <w:t>Droit pénal administratif. Ouverture de la procédure. Qualité pour recourir.</w:t>
      </w:r>
    </w:p>
    <w:p>
      <w:r>
        <w:t>Art. 28 al. 1 DPA</w:t>
      </w:r>
    </w:p>
    <w:p>
      <w:r>
        <w:t>L'ouverture d'une procédure pénale administrative ne cause aucune lésion à la personne inculpée et ne peut dès lors faire l'objet d'une plainte de sa part. Il en va de même dans le cas d'une plainte contre le rejet d'une requête en classement de la procédure, interjetée peu de temps après l'ouverture de celle-ci (consid. 1.3).</w:t>
      </w:r>
    </w:p>
    <w:p>
      <w:r>
        <w:t>Diritto penale amministrativo. Apertura dell'inchiesta. Legittimazione a ricorrere.</w:t>
      </w:r>
    </w:p>
    <w:p>
      <w:r>
        <w:t>Art. 28 cpv. 1 DPA</w:t>
      </w:r>
    </w:p>
    <w:p>
      <w:r>
        <w:t>L'apertura di un'inchiesta penale amministrativa non è impugnabile per difetto di aggravio nella posizione dell'imputato. Lo stesso vale anche nel caso di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