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132 vom 1. Januar 2013</w:t>
      </w:r>
    </w:p>
    <w:p>
      <w:r>
        <w:t>Bundesstrafgericht, 2013-01-01, DE</w:t>
      </w:r>
    </w:p>
    <w:p>
      <w:r>
        <w:rPr>
          <w:b/>
        </w:rPr>
        <w:t xml:space="preserve">Quelle: </w:t>
      </w:r>
      <w:r>
        <w:t>https://mcp.opencaselaw.ch/entscheid/bstger_TPF_2013_132</w:t>
      </w:r>
    </w:p>
    <w:p>
      <w:r>
        <w:t>FR: TPF TPF 2013 132 du 1 janvier 2013</w:t>
      </w:r>
    </w:p>
    <w:p>
      <w:r>
        <w:t>IT: TPF TPF 2013 132 del 1 gennaio 2013</w:t>
      </w:r>
    </w:p>
    <w:p>
      <w:pPr>
        <w:pStyle w:val="Heading2"/>
      </w:pPr>
      <w:r>
        <w:t>Regeste</w:t>
      </w:r>
    </w:p>
    <w:p>
      <w:r>
        <w:t>Akteneinsicht; Koordination mit der Datenschutzgesetzgebung.</w:t>
      </w:r>
    </w:p>
    <w:p>
      <w:pPr>
        <w:pStyle w:val="Heading2"/>
      </w:pPr>
      <w:r>
        <w:t>Volltext</w:t>
      </w:r>
    </w:p>
    <w:p>
      <w:r>
        <w:t>TPF 2013 132 132 requérante ou requise: en effet, s'il fait usage de l'art. 355 al. 3 let. a ou b, voire d CPP, immédiatement après l'opposition, il n'aura aucune raison de requérir d'un autre canton la reprise de sa procédure et, puisque la procédure préliminaire sera close en ce qui le concerne, toute requête à lui adressée de reprendre un for se heurtera à l'art. 34 al. 2 CPP. Il sied de remarquer ici, puisque le conflit de for y trouve son origine, que comme l'art. 34 CPP est évidemment de droit impératif, les cantons ont l'obligation non seulement de mener des pourparlers de for afin de déterminer leur compétence au plus vite mais, en amont, de se donner mutuellement un état précis et actuel des procédures en cours par le biais du casier judiciaire (art. 367 al. 4 CP), le délai d'inscription étant en principe de deux semaines après l'ouverture d'une procédure pénale (Ordonnance sur le casier judiciaire, art. 11 al. 3; RS 331).</w:t>
      </w:r>
    </w:p>
    <w:p>
      <w:r>
        <w:t>2.7 Par conséquent, il y a lieu de dire que les principes fondamentaux évoqués ci-avant (consid. 2.2), concrétisés par le législateur à l'art. 34 CPP, imposent que des pourparlers de fors au sujet d'infractions commises en des lieux différents doivent être menés, et un canton unique désigné, tant que deux procédures sont au stade préliminaire. Une ordonnance pénale frappée d'opposition ne met pas fin à la procédure préliminaire et ne tombe donc pas dans le champ d'application de l'art. 34 al. 2 CPP.</w:t>
      </w:r>
    </w:p>
    <w:p>
      <w:r>
        <w:t>TPF 2013 132</w:t>
      </w:r>
    </w:p>
    <w:p>
      <w:r>
        <w:t>14. Auszug aus dem Beschluss der Beschwerdekammer in Sachen A. gegen Bundesanwaltschaft vom 3. Juli 2013 (BB.2013.75)</w:t>
      </w:r>
    </w:p>
    <w:p>
      <w:r>
        <w:t>Akteneinsicht; Koordination mit der Datenschutzgesetzgebung.</w:t>
      </w:r>
    </w:p>
    <w:p>
      <w:r>
        <w:t>Art. 99 Abs. 1 StPO</w:t>
      </w:r>
    </w:p>
    <w:p>
      <w:r>
        <w:t>Zwischen formeller Eröffnung und rechtskräftiger Beendigung des Strafverfahrens richtet sich die Akteneinsicht nach der Strafprozessordnung selbst. Bei abgeschlossenem Strafverfahren verweist sie für die Einsicht auf das Verfahren nach Datenschutzrecht, wo keine strafprozessuale Beschwerde möglich ist (E. 2.2–2.3).</w:t>
      </w:r>
    </w:p>
    <w:p>
      <w:r>
        <w:t>Die Vorinstanz vermeidet Lücken im Rechtsschutz, indem sie bei ihrer Interessenabwägung nach Datenschutzgesetz die Besonderheiten des Strafverfahrens berücksichtigt (E. 2.4).</w:t>
      </w:r>
    </w:p>
    <w:p>
      <w:r>
        <w:t>TPF 2013 132 133 Consultation du dossier; coordination avec la législation sur la protection des données.</w:t>
      </w:r>
    </w:p>
    <w:p>
      <w:r>
        <w:t>Art. 99 al. 1 CPP</w:t>
      </w:r>
    </w:p>
    <w:p>
      <w:r>
        <w:t>Entre l'ouverture formelle de la procédure pénale et sa clôture définitive, la consultation du dossier est régie par le Code de procédure pénale. S'agissant d'une procédure pénale clôturée, la question de sa consultation est régie par le droit de la protection des données dans le cadre duquel le recours pénal n'est pas ouvert (consid. 2.2–2.3).</w:t>
      </w:r>
    </w:p>
    <w:p>
      <w:r>
        <w:t>L'instance inférieure évitera des lacunes dans la protection juridique en tenant compte des particularités de la procédure pénale dans sa pesée des intérêts selon la loi sur la protection des données (consid. 2.4).</w:t>
      </w:r>
    </w:p>
    <w:p>
      <w:r>
        <w:t>Accesso agli atti; coordinazione con la legislazione in ambito di protezione dei dati.</w:t>
      </w:r>
    </w:p>
    <w:p>
      <w:r>
        <w:t>Art. 99 cpv. 1 CPP</w:t>
      </w:r>
    </w:p>
    <w:p>
      <w:r>
        <w:t>L'accesso agli atti è regolato dal Codice di procedura penale a partire dall'apertura formale della procedura fino al conclusivo passaggio in giudicato della stessa. Dopo la chiusura del procedimento il Codice stesso rinvia alle disposizioni in materia di protezione dei dati, nel cui quadro non è aperto il rimedio del reclamo penale (consid. 2.2–2.3).</w:t>
      </w:r>
    </w:p>
    <w:p>
      <w:r>
        <w:t>L'istanza precedente evita lacune nella protezione giuridica considerando le particolarità della procedura penale nella propria ponderazione degli interessi giusta la normativa in materia di protezione dei dati (consid. 2.4).</w:t>
      </w:r>
    </w:p>
    <w:p>
      <w:r>
        <w:t>Zusammenfassung des Sachverhalts:</w:t>
      </w:r>
    </w:p>
    <w:p>
      <w:r>
        <w:t>A. zeigte Fehlverhalten eines Bundesangestellten in einem eingestellten Strafverfahren an; auch leitete er ein Staatshaftungsverfahren ein. Die Anzeige richtete sich gegen unbekannte Bedienstete des Bundes und forderte Schadenersatz. Er ersuchte um Einsicht in die Akten des gegen ihn geführten eingestellten Strafverfahrens.</w:t>
      </w:r>
    </w:p>
    <w:p>
      <w:r>
        <w:t>Die Beschwerdekammer trat auf die Beschwerde nicht ein.</w:t>
      </w:r>
    </w:p>
    <w:p>
      <w:r>
        <w:t>Aus den Erwägungen:</w:t>
      </w:r>
    </w:p>
    <w:p>
      <w:r>
        <w:t>TPF 2013 132 134</w:t>
      </w:r>
    </w:p>
    <w:p>
      <w:r>
        <w:t>2.2 Der Zugang zu amtlichen Dokumenten, welche persönliche Daten der Gesuchstellerin oder des Gesuchstellers enthalten, richtet sich gemäss Art. 3 Abs. 2 des Bundesgesetzes vom 17. Dezember 2004 über das Öffentlichkeitsprinzip der Verwaltung (SR 152.3; Öffentlichkeitsgesetz, BGÖ) nach dem Bundesgesetz vom 19. Juni 1992 über den Datenschutz (SR 235.1; DSG). Gewissermassen als Gegenstück zu Art. 99 StPO sieht Art. 2 Abs. 2 lit. c DSG vor, dass es nicht gelte für hängige Zivilprozesse, Strafverfahren, Verfahren der internationalen Rechtshilfe sowie staats- und verwaltungsrechtliche Verfahren mit Ausnahme erstinstanzlicher Verwaltungsverfah-ren (Urteil des Bundesgerichts 4A_688/2011 vom 17. April 2012, E. 4.2 f. m.w.H.; BELSER/EPINEY/WALDMANN, Datenschutzrecht, Bern 2011, S. 661; Botschaft vom 21. Dezember 2005 zur Vereinheitlichung des Strafprozessrechts, BBl 2006 1085, S. 1160– 1163; Urteil der Eidgenössischen Datenschutzkommission vom 10. Januar 1997, VPB 62.40 E. 3 ee). Neben ihrer Tätigkeit als Strafverfolgungsbehörde ist die BA ihrer staatsrechtlichen Stellung nach eine administrative Behörde (Botschaft vom 23. März 1988 zum Bundesgesetz über den Datenschutz, BBl 1988 II 413, S. 443) und dem DSG unterstellt.</w:t>
      </w:r>
    </w:p>
    <w:p>
      <w:r>
        <w:t>Während Art. 99 StPO mit dem Begriff des abgeschlossenen Verfahrens auf die Rechtskraft von Entscheiden verweist (FIOLKA, Basler Kommentar, Basel 2011, Art. 99 StPO N. 3 und 4; SCHMID, Handbuch des Schweizerischen Strafprozessrechts, Zürich/St. Gallen 2009, N. 619; BRÜSCHWEILER, in Donatsch/Hansjakob/Lieber [Hrsg.], Kommentar zur Schweizerischen Strafprozessordnung, Zürich 2010, Art. 99 StPO N. 1), ist die Frage der Hängigkeit bei Strafverfahren (Art. 2 Abs. 2 lit. c DSG) wenig geklärt (so BELSER/EPINEY/WALDMANN, a.a.O., S. 662 mit Verweis auf das Gutachten des Eidgenössischen Datenschutzbeauftragten vom 12. Juni 2001, VPB 65.98, Frage 4; Urteil vom 28. Mai 1998 der Eidgenössischen Datenschutzkommission, VPB 64.69, E. 3).</w:t>
      </w:r>
    </w:p>
    <w:p>
      <w:r>
        <w:t>2.3 Demnach richtet sich im vorliegenden Fall die Akteneinsicht zwischen der Eröffnung des Strafverfahrens bis zur Beendigung desselben nach der StPO. Gemäss der neuen StPO eröffnet die BA die Untersuchung mittels Verfügung (Art. 309 Abs. 2 StPO; OMLIN, Basler Kommentar, Basel 2011, Art. 309 StPO N. 9), für die Beendigung des Verfahrens ist die Rechtskraft massgebend, unter anderem auch diejenige der Einstellungsverfügung.</w:t>
      </w:r>
    </w:p>
    <w:p>
      <w:r>
        <w:t>TPF 2013 132 135 Dies führt aus folgenden Gründen zu Unklarheiten: Währenddem eine rechtskräftige Einstellungsverfügung zwar einem freisprechenden Endentscheid gleichkommt (Art. 320 Abs. 4 StPO), kann die Staatsanwaltschaft das Verfahren jederzeit wieder aufnehmen, wenn ihr neue Beweismittel oder Tatsachen bekannt werden, die sich nicht aus den früheren Akten ergeben (Art. 323 Abs. 1 lit. b StPO). Diese Möglichkeit der Wiederaufnahme endet erst, wenn die Tat verjährt (Art. 97–101 StGB, sofern kein milderes älteres Recht anzuwenden ist). Dementsprechend sind nach StPO (Art. 103 Abs. 1) die Akten mindestens bis zum Ablauf der Verfolgungs- und Vollstreckungsverjährung aufzubewahren. In diesem Sinn bleibt das Verfahren bis zum Verjährungseintritt «hängig».</w:t>
      </w:r>
    </w:p>
    <w:p>
      <w:r>
        <w:t>Andererseits geht aus Wortlaut, Materialien und Praxis zu Art. 99 StPO hervor, dass die Akteneinsicht nach rechtskräftiger Beendigung des Verfahrens auf Grundlage des DSG erfolgt. Während über die Akteneinsicht zwar auf Grundlage der StPO entschieden wird (Anwendung von Art. 99 StPO), diese jedoch auf das DSG verweist, ist der Entscheid über die Akteneinsicht bei abgeschlossenem Strafverfahren keine Verfügung im Sinne von Art. 393 Abs. 1 lit. a StPO. Damit fehlt die Möglichkeit, ihn mit strafprozessualer Beschwerde anzufechten (vgl. auch KELLER, Kommentar zur Schweizerischen Strafprozessordnung, a.a.O., Art. 393 N. 16 und N. 18, wo Art. 99 weder in der Positiv-, noch in der Negativliste aufgeführt ist).</w:t>
      </w:r>
    </w:p>
    <w:p>
      <w:r>
        <w:t>2.4 In materiell-rechtlicher Hinsicht öffnet dies keine unüberwindlichen Lücken im Rechtsschutz, denn es bestehen prima facie keine Zweifel, dass vorliegend, in der Sprache des DSG, das Bearbeiten einer Sammlung von Personendaten vorliegt und dieses daher einen Entscheid ermöglicht (Art. 3 lit. a, e und g DSG; Urteil des Bundesgerichts 4A_688/2011 vom 17. April 2012, E. 3/4; BELSER/EPINEY/WALDMANN, a.a.O., S. 421–429; einschränkend das Urteil des Bundesgerichts 1A.225/2002 vom 27. Mai 2003, E. 1.2). […]</w:t>
      </w:r>
    </w:p>
    <w:p>
      <w:r>
        <w:t>Zur Sicherstellung der Koordination und Vermeidung von Widersprüchen wird der Entscheid über die Akteneinsicht nach DSG mit den Bestimmungen der StPO zu harmonisieren sein. So wird der Entscheid materiell unter anderem zu beachten haben, dass der Beschwerdeführer einerseits Beschuldigter des eingestellten Strafverfahrens war und andererseits die Akteneinsicht für die Einleitung eines gerichtlichen</w:t>
      </w:r>
    </w:p>
    <w:p>
      <w:r>
        <w:t>TPF 2013 136 136 Verfahrens verlangt. Dies kann Fragen zum Zugang zu einem Gericht nach Art. 6 Ziff. 1 EMRK aufwerfen. Beides kann jedoch auch bei der Interessenabwägung nach Art. 9 DSG berücksichtigt werden, weshalb auch unter diesem Gesichtspunkt die Anwendung des DSG sachgerechte Ergebnisse erlaubt.</w:t>
      </w:r>
    </w:p>
    <w:p>
      <w:r>
        <w:t>TPF 2013 136</w:t>
      </w:r>
    </w:p>
    <w:p>
      <w:r>
        <w:t>15. Auszug aus dem Urteil der Strafkammer in Sachen A. und B. vom 4. Juli 2013 (SK.2013.7)</w:t>
      </w:r>
    </w:p>
    <w:p>
      <w:r>
        <w:t>Erlass der Rückerstattungspflicht für Kosten der amtlichen Verteidigung; nachträglicher richterlicher Entscheid.</w:t>
      </w:r>
    </w:p>
    <w:p>
      <w:r>
        <w:t>Art. 135 Abs. 4 lit. a, 364 Abs. 1, 425 StPO</w:t>
      </w:r>
    </w:p>
    <w:p>
      <w:r>
        <w:t>Über die Rückerstattung der Kosten für amtliche Verteidigung bei Wegfall der Bedürftigkeit nach der Urteilsfällung ist in einem selbständigen nachträglichen Entscheid des Gerichts zu befinden (E. 6.3).</w:t>
      </w:r>
    </w:p>
    <w:p>
      <w:r>
        <w:t>Ein solcher Entscheid setzt einen entsprechenden Antrag der Vollzugsbehörde voraus. Liegt dieser nicht vor, ist das Gesuch um Erlass der Rückerstattungspflicht gegenstandslos (E. 6.4, 7).</w:t>
      </w:r>
    </w:p>
    <w:p>
      <w:r>
        <w:t>Libération de l'obligation de remboursement des frais de la défense d'office; décision judiciaire ultérieure.</w:t>
      </w:r>
    </w:p>
    <w:p>
      <w:r>
        <w:t>Art. 135 al. 4 let. a, 364 al. 1, 425 CPP</w:t>
      </w:r>
    </w:p>
    <w:p>
      <w:r>
        <w:t>C'est par une décision judiciaire ultérieure indépendante qu'il sied de statuer sur le remboursement des frais de la défense d'office en cas de disparition de l'indigence après que le jugement a été rendu (consid. 6.3).</w:t>
      </w:r>
    </w:p>
    <w:p>
      <w:r>
        <w:t>Une telle décision présuppose l'existence d'une requête correspondante de la part de l'autorité d'exécution. En son absence, la requête visant la dispense de l'obligation de rembourser est sans objet (consid. 6.4,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