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20 vom 1. Januar 2012</w:t>
      </w:r>
    </w:p>
    <w:p>
      <w:r>
        <w:t>Bundesstrafgericht, 2012-01-01, DE</w:t>
      </w:r>
    </w:p>
    <w:p>
      <w:r>
        <w:rPr>
          <w:b/>
        </w:rPr>
        <w:t xml:space="preserve">Quelle: </w:t>
      </w:r>
      <w:r>
        <w:t>https://mcp.opencaselaw.ch/entscheid/bstger_TPF_2012_20</w:t>
      </w:r>
    </w:p>
    <w:p>
      <w:r>
        <w:t>FR: TPF TPF 2012 20 du 1 janvier 2012</w:t>
      </w:r>
    </w:p>
    <w:p>
      <w:r>
        <w:t>IT: TPF TPF 2012 20 del 1 gennaio 2012</w:t>
      </w:r>
    </w:p>
    <w:p>
      <w:pPr>
        <w:pStyle w:val="Heading2"/>
      </w:pPr>
      <w:r>
        <w:t>Regeste</w:t>
      </w:r>
    </w:p>
    <w:p>
      <w:r>
        <w:t>Verwaltungsstrafrecht. Parteien; geschädigte Person.</w:t>
      </w:r>
    </w:p>
    <w:p>
      <w:pPr>
        <w:pStyle w:val="Heading2"/>
      </w:pPr>
      <w:r>
        <w:t>Erwägungen</w:t>
      </w:r>
    </w:p>
    <w:p>
      <w:r>
        <w:rPr>
          <w:b/>
        </w:rPr>
        <w:t>E. 20</w:t>
      </w:r>
    </w:p>
    <w:p>
      <w:r>
        <w:t>l’art. 329 CPP, quand bien même la Cour des affaires pénales ne se dessaisirait pas formellement (art. 329 al. 3 CPP). Il paraît dès lors plus logique de considérer que l’autorité de recours contre les décisions du ministère public demeure compétente, nonobstant la saisie du tribunal de jugement, pour statuer sur les recours formés avant le dépôt de l’acte d’accusation et encore pendants à ce moment. A contrario, sous réserve de la situation générée par l’application de l’art. 329 CPP (voir supra. 1.4.4), elle n’est de toute évidence plus compétente pour traiter des recours dont elle serait saisie en même temps ou après le dépôt de l’acte d’accusation.</w:t>
      </w:r>
    </w:p>
    <w:p>
      <w:r>
        <w:t>1.4.6 Il n’échappe pas à la Cour de céans qu’une telle pratique, entraînant la compétence concurrente du tribunal de jugement et de l’autorité de recours, peut, dans certains cas de figure, être source de décisions potentiellement contradictoires. Il s’agit cependant de constater que de toute évidence, ce problème se pose si rarement qu’il n’a donné lieu qu’à peu de décisions et encore moins de commentaires doctrinaux. S’il convient de rendre ici une décision de principe, on peut également postuler que d’ordinaire, le ministère public attendra le sort de ses décisions attaquées (au moins en première instance) pour déposer l’acte d’accusation au tribunal de jugement; d’un autre côté, si ce dernier estime que la décision de l’autorité de recours pendante rend le dossier incomplet, il peut faire usage des facultés que lui confère l’art. 329 CPP.</w:t>
      </w:r>
    </w:p>
    <w:p>
      <w:r>
        <w:t>TPF 2012 20</w:t>
      </w:r>
    </w:p>
    <w:p>
      <w:r>
        <w:t>5. Auszug aus dem Beschluss der Beschwerdekammer in Sachen A. AG ge- gen Eidgenössisches Finanzdepartement vom 10. Januar 2012 (BV.2011.26, BP.2011.40)</w:t>
      </w:r>
    </w:p>
    <w:p>
      <w:r>
        <w:t>Verwaltungsstrafrecht. Parteien; geschädigte Person.</w:t>
      </w:r>
    </w:p>
    <w:p>
      <w:r>
        <w:t>Art. 74 Abs. 1 VStrR</w:t>
      </w:r>
    </w:p>
    <w:p>
      <w:r>
        <w:t>Im Verwaltungsstrafverfahren des Bundes kommt einer geschädigten Person keine Parteistellung zu (E. 4).</w:t>
      </w:r>
    </w:p>
    <w:p>
      <w:r>
        <w:t>TPF 2012 20</w:t>
      </w:r>
    </w:p>
    <w:p>
      <w:r>
        <w:rPr>
          <w:b/>
        </w:rPr>
        <w:t>E. 21</w:t>
      </w:r>
    </w:p>
    <w:p>
      <w:r>
        <w:t>Droit pénal administratif. Parties; personne lésée.</w:t>
      </w:r>
    </w:p>
    <w:p>
      <w:r>
        <w:t>Art. 74 al. 1 DPA</w:t>
      </w:r>
    </w:p>
    <w:p>
      <w:r>
        <w:t>Dans la procédure pénale administrative de la Confédération, une personne lésée n'a pas la qualité de partie (consid. 4).</w:t>
      </w:r>
    </w:p>
    <w:p>
      <w:r>
        <w:t>Diritto penale amministrativo. Parti; persona danneggiata.</w:t>
      </w:r>
    </w:p>
    <w:p>
      <w:r>
        <w:t>Art. 74 cpv. 1 DPA</w:t>
      </w:r>
    </w:p>
    <w:p>
      <w:r>
        <w:t>In ambito di procedura penale amministrativa federale la persona danneggiata non fruisce della qualità di parte (consid. 4).</w:t>
      </w:r>
    </w:p>
    <w:p>
      <w:r>
        <w:t>Zusammenfassung des Sachverhalts:</w:t>
      </w:r>
    </w:p>
    <w:p>
      <w:r>
        <w:t>Im Rahmen einer von ihr beim Eidgenössischen Finanzdepartement (EFD) eingereichten Strafanzeige wegen des Verdachts der Widerhandlungen gegen das Bundesgesetz vom 23. Juni 2006 über die kollektiven Kapitalanlagen (Kollektivanlagengesetz, KAG; SR 951.31) ersuchte die A. AG um Einräumung der Parteistellung als Geschädigte im Strafverfahren. Der Leiter des Rechtsdienstes des Generalsekretariats EFD wies mit Beschwerdeentscheid vom 15. September 2011 dieses Begehren ab. Im Rahmen ihrer Beschwerde an die Beschwerdekammer wiederholte die A. AG ihren Antrag.</w:t>
      </w:r>
    </w:p>
    <w:p>
      <w:r>
        <w:t>Die Beschwerdekammer hiess die Beschwerde teilweise gut und hob die von der Vorinstanz vorgenommene Kostenauferlegung auf, wies die Beschwerde im Übrigen aber ab.</w:t>
      </w:r>
    </w:p>
    <w:p>
      <w:r>
        <w:t>Aus den Erwägungen:</w:t>
      </w:r>
    </w:p>
    <w:p>
      <w:r>
        <w:t>4. 4.1 Parteien im gerichtlichen Verfahren sind der Beschuldigte, die Staatsanwaltschaft des betreffenden Kantons oder des Bundes und die beteiligte Verwaltung (Art. 74 Abs. 1 VStrR). Die Beschwerdeführerin führt diesbezüglich zur Begründung ihrer angestrebten Parteistellung als Geschädigte aus, dass insbesondere das KAG den Schutz der Anlegerinnen und Anleger zum Zwecke habe, welcher als vorrangiger Gesetzeszweck zu verstehen sei. Eine in diesem Lichte vorzunehmende zeitgemässe und teleologische Auslegung von Art. 74 VStrR erfordere geradezu die</w:t>
      </w:r>
    </w:p>
    <w:p>
      <w:r>
        <w:t>TPF 2012 20</w:t>
      </w:r>
    </w:p>
    <w:p>
      <w:r>
        <w:rPr>
          <w:b/>
        </w:rPr>
        <w:t>E. 22</w:t>
      </w:r>
    </w:p>
    <w:p>
      <w:r>
        <w:t>Einräumung der Parteistellung zu Gunsten von Geschädigten auch im Verwaltungsstrafverfahren. Da eine solche Parteistellung zu Gunsten der Beschwerdeführerin begründet würde, dürfe das Legalitätsprinzip vorliegend nicht zu streng gehandhabt werden.</w:t>
      </w:r>
    </w:p>
    <w:p>
      <w:r>
        <w:t>4.2 4.2.1 Die Systematik des VStrR hingegen zeigt auf, dass durchgehend einzig die Verwaltung oder der Beschuldigte im Gesetz aufgeführt sind. So ist auch beispielsweise in den Artikeln 35 Abs. 1, 37 Abs. 2, 41 Abs. 3, 42 Abs. 1 und 43 Abs. 2 VStrR nur von dem Beschuldigten die Rede und nicht von einer weiteren Partei. Kohärenterweise ist weiter auch aus den Artikeln 64 Abs. 1 und 79 Abs. 1 VStrR ersichtlich, dass der Inhalt des Strafbescheides bzw. des Urteils im Verwaltungsstrafverfahren keinen Zuspruch von Schadenersatz an einen Privatkläger vorsieht. In der StPO hingegen ist eine allfällige Schadenersatzklage des Privatklägers möglich (Art. 122 ff. StPO; siehe auch Art. 81 Abs. 4 lit. b StPO). Auch ist weder aus den parlamentarischen Diskussionen noch aus der Botschaft ersichtlich, dass eine Parteistellung des Geschädigten im Verwaltungsstrafrecht je in Erwägung gezogen wurde (Botschaft vom 21. April 1971 zum Entwurf eines Bundesgesetzes über das Verwaltungsstrafrecht, BBl 1971 I 993 ff.; Amtl. Bull. 1973 N 486 ff.; vgl. auch EICKER/FRANK/ACHERMANN, Verwaltungsstrafrecht und Verwaltungsstrafverfahrensrecht, Bern 2012, S. 153).</w:t>
      </w:r>
    </w:p>
    <w:p>
      <w:r>
        <w:t>4.2.2 Aus der Botschaft zur Strafprozessordnung ist weiter ersichtlich, dass es sich bei den Änderungen des VStrR nur um terminologische Anpassungen an die StPO handelte, welche keine inhaltlichen Veränderungen nach sich zogen (Botschaft vom 21. Dezember 2005 zur Vereinheitlichung des Strafprozessrechts, BBl 2006 1340). Diese rein terminologischen Anpassungen fanden in Bezug auf Art. 74 Abs. 1 VStrR auch im Anhang zum Entwurf der StPO Eingang (BBl 2006 1536). Eindeutig nicht beabsichtigt wurde diesbezüglich eine analoge Anwendung von Bestimmungen der StPO, wie dies andernorts befürwortet wurde (siehe z. B. Art. 22 Abs. 2 VStrR, wo auf Art. 40 Abs. 2 StPO verwiesen wird, oder Art. 30 Abs. 3 VStrR, welcher auf Art. 43–8 StPO verweist).</w:t>
      </w:r>
    </w:p>
    <w:p>
      <w:r>
        <w:t>4.2.3 Obwohl, wie von der Beschwerdeführerin richtig ausgeführt, sowohl das KAG wie auch das Bundesgesetz vom 22. Juni 2007 über die Eidge- nössische Finanzmarktaufsicht (Finanzmarktaufsichtsgesetz, FINMAG; SR 956.1) auch Individualschutzideen beinhalten (Botschaft vom 23. Sep-</w:t>
      </w:r>
    </w:p>
    <w:p>
      <w:r>
        <w:t>TPF 2012 23</w:t>
      </w:r>
    </w:p>
    <w:p>
      <w:r>
        <w:rPr>
          <w:b/>
        </w:rPr>
        <w:t>E. 23</w:t>
      </w:r>
    </w:p>
    <w:p>
      <w:r>
        <w:t>tember 2005 zum Bundesgesetz über die kollektiven Kapitalanlagen, BBl 2005 6395 ff.; Botschaft vom 1. Februar 2006 zum Bundesgesetz über die Eidgenössische Finanzmarktaufsicht, BBl 2006 2829 ff.), reichen diese nicht aus um – entgegen dem klaren Gesetzeswortlaut – eine verfahrensrechtliche Parteistellung des Geschädigten zu begründen und die Systematik des VStrR zu durchbrechen. Art. 145 KAG beinhaltet zwar eine zivilrechtliche Haftungsnorm, auf welche sich die Anlegerinnen und Anleger berufen können, und Art. 85 KAG begründet für diese ein Klagerecht (vor dem Zivilgericht, vgl. hierzu BBl 2005 6466); anhand dieser Bestimmungen allein kann jedoch keine Parteistellung von Geschädigten im Verwaltungsstrafverfahren begründet werden. Zusammenfassend ist demzufolge festzuhalten, dass angesichts von Wortlaut und Systematik des VStrR keines der von der Beschwerdeführerin vorgebrachten Argumente eine Parteistellung des Geschädigten im Rahmen des Verwaltungsstrafverfahrens zu begründen vermag.</w:t>
      </w:r>
    </w:p>
    <w:p>
      <w:r>
        <w:t>TPF 2012 23</w:t>
      </w:r>
    </w:p>
    <w:p>
      <w:r>
        <w:t>6. Extrait de l'arrêt de la Cour des plaintes dans la cause A. contre Office fédéral de la justice du 18 janvier 2012 (RR.2011.316, RP.2011.61)</w:t>
      </w:r>
    </w:p>
    <w:p>
      <w:r>
        <w:t>Extradition à l'Italie; exécution d'un jugement rendu par défaut; garanties diplomatiques.</w:t>
      </w:r>
    </w:p>
    <w:p>
      <w:r>
        <w:t>Art. 6 CEDH, art. 3 par. 1 du deuxième Protocole additionnel à la CEExtr, art. 80p EIMP</w:t>
      </w:r>
    </w:p>
    <w:p>
      <w:r>
        <w:t>Une personne condamnée par défaut ne peut se voir refuser la possibilité d'être jugée en contradictoire que s'il est établi qu'elle avait reçu sa citation à comparaître. La citation initiale à une audience de jugement dont les débats ont en fin de compte dû être répétés à quatre reprises, dans un intervalle de plusieurs années, ne saurait être considérée comme suffisante (consid. 2 et 3.1– 3.2).</w:t>
      </w:r>
    </w:p>
    <w:p>
      <w:r>
        <w:t>Lorsque la procédure de jugement ayant conduit à un jugement par défaut n'a pas satisfait aux droits minimums de la défense reconnus à toute personne accusée d'une infraction, l'extradition ne sera refusée que si l'Etat requérant ne donne pas des assurances jugées suffisantes pour garantir à la personne poursuivie le droit à une nouvelle procédure de jugement qui sauvegarde les droits de la défense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