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84 vom 1. Januar 2011</w:t>
      </w:r>
    </w:p>
    <w:p>
      <w:r>
        <w:t>Bundesstrafgericht, 2011-01-01, IT</w:t>
      </w:r>
    </w:p>
    <w:p>
      <w:r>
        <w:rPr>
          <w:b/>
        </w:rPr>
        <w:t xml:space="preserve">Quelle: </w:t>
      </w:r>
      <w:r>
        <w:t>https://mcp.opencaselaw.ch/entscheid/bstger_TPF_2011_84</w:t>
      </w:r>
    </w:p>
    <w:p>
      <w:r>
        <w:t>FR: TPF TPF 2011 84 du 1 janvier 2011</w:t>
      </w:r>
    </w:p>
    <w:p>
      <w:r>
        <w:t>IT: TPF TPF 2011 84 del 1 gennaio 2011</w:t>
      </w:r>
    </w:p>
    <w:p>
      <w:pPr>
        <w:pStyle w:val="Heading2"/>
      </w:pPr>
      <w:r>
        <w:t>Regeste</w:t>
      </w:r>
    </w:p>
    <w:p>
      <w:r>
        <w:t>Art der Protokollierung bei technischen Aufzeichnungen und bei fremdsprachigen Aussagen.</w:t>
      </w:r>
    </w:p>
    <w:p>
      <w:pPr>
        <w:pStyle w:val="Heading2"/>
      </w:pPr>
      <w:r>
        <w:t>Erwägungen</w:t>
      </w:r>
    </w:p>
    <w:p>
      <w:r>
        <w:rPr>
          <w:b/>
        </w:rPr>
        <w:t>E. 21</w:t>
      </w:r>
    </w:p>
    <w:p>
      <w:r>
        <w:t>Estratto della sentenza della II Corte dei reclami penali nella causa A. contro Ufficio federale di giustizia del 14 giugno 2011 (RR.2011.114)</w:t>
      </w:r>
    </w:p>
    <w:p>
      <w:r>
        <w:t>Estradizione alla Romania; caso irrilevante; severità della pena pronunciata all'estero.</w:t>
      </w:r>
    </w:p>
    <w:p>
      <w:r>
        <w:t>Art. 4, 35 cpv. 1 lett. a, 55 AIMP, art. 2 CEEstr</w:t>
      </w:r>
    </w:p>
    <w:p>
      <w:r>
        <w:t>L'esistenza di un caso irrilevante giusta l'art. 4 AIMP si determina unicamente in funzione dell'importanza delle pene suscettibili di essere inflitte. Nel caso di minorenni, le condizioni degli art. 35 cpv. 1 lett. a AIMP e 2 CEEstr vanno analizzate prendendo in considerazione il diritto penale minorile svizzero (consid. 3.2.1).</w:t>
      </w:r>
    </w:p>
    <w:p>
      <w:r>
        <w:t>Nel caso di giovani delinquenti il tradizionale riserbo nei confronti della politica sanzionatoria dello Stato estero deve essere contemperato con l'esigenza di difendere le concezioni fondamentali del diritto penale minorile svizzero, anche in quanto espressione della Convenzione sui diritti del fanciullo del 20 novembre 1989 (consid. 3.2.2).</w:t>
      </w:r>
    </w:p>
    <w:p>
      <w:r>
        <w:t>Auslieferung an Rumänien; Bagatellfall; Härte der im Ausland ausgesprochenen Strafe.</w:t>
      </w:r>
    </w:p>
    <w:p>
      <w:r>
        <w:t>Art. 4, 35 Abs. 1 lit. a, 55 IRSG, Art. 2 EAÜ</w:t>
      </w:r>
    </w:p>
    <w:p>
      <w:r>
        <w:t>Das Vorliegen eines Bagatellfalles im Sinne von Art. 4 IRSG bestimmt sich einzig nach der Bedeutung der Strafen, die verhängt werden können. Bei Minderjährigen sind die Bedingungen von Art. 35 Abs. 1 lit. a IRSG und Art. 2 EAÜ mit Rücksicht auf das schweizerische Jugendstrafrecht zu interpretieren (E. 3.2.1).</w:t>
      </w:r>
    </w:p>
    <w:p>
      <w:r>
        <w:t>Bei jugendlichen Straftätern ist die traditionelle Zurückhaltung gegenüber der Sanktionspolitik des ausländischen Staates mit dem Anspruch auf Verteidigung der grundlegenden Auffassungen des schweizerischen Jugendstrafrechts, welche auch Ausdruck des Übereinkommens vom 20. November 1989 über die Rechte des Kindes sind, in Einklang zu bringen (E. 3.2.2).</w:t>
      </w:r>
    </w:p>
    <w:p>
      <w:r>
        <w:t>Extradition à la Roumanie; cas de peu d’importance; séverité de la peine prononcée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