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TPF 2011 80 vom 2. Dezember 2010</w:t>
      </w:r>
    </w:p>
    <w:p>
      <w:r>
        <w:t>Bundesstrafgericht, 2010-12-02, FR</w:t>
      </w:r>
    </w:p>
    <w:p>
      <w:r>
        <w:rPr>
          <w:b/>
        </w:rPr>
        <w:t xml:space="preserve">Quelle: </w:t>
      </w:r>
      <w:r>
        <w:t>https://mcp.opencaselaw.ch/entscheid/bstger_TPF_2011_80</w:t>
      </w:r>
    </w:p>
    <w:p>
      <w:r>
        <w:t>FR: TPF TPF 2011 80 du 2 décembre 2010</w:t>
      </w:r>
    </w:p>
    <w:p>
      <w:r>
        <w:t>IT: TPF TPF 2011 80 del 2 dicembre 2010</w:t>
      </w:r>
    </w:p>
    <w:p>
      <w:pPr>
        <w:pStyle w:val="Heading2"/>
      </w:pPr>
      <w:r>
        <w:t>Regeste</w:t>
      </w:r>
    </w:p>
    <w:p>
      <w:r>
        <w:t>Editions- und Beschlagnahmeverfügung; Siegelung.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Estratto della decisione della I Corte dei reclami penali nella causa A., B., C. Ltd. contro Ministero pubblico della Confederazione del 30 maggio 2011 (BB.2011.25, BB.2011.26, BB.2011.27)</w:t>
      </w:r>
    </w:p>
    <w:p>
      <w:r>
        <w:t>Ordine di edizione e sequestro; apposizione di sigilli.</w:t>
      </w:r>
    </w:p>
    <w:p>
      <w:r>
        <w:t>Art. 263, 248 cpv. 1 CPP</w:t>
      </w:r>
    </w:p>
    <w:p>
      <w:r>
        <w:t>Qualora il detentore di carte oggetto di un ordine di sequestro si opponga invocando la facoltà di non rispondere o di non deporre oppure altri motivi, queste saranno poste sotto sigillo; spetterà quindi all’autorità penale presentare, entro 20 giorni, una domanda di dissigillamento. L’apposizione dei sigilli e il deposito in luogo sicuro non costituiscono delle misure coercitive</w:t>
      </w:r>
    </w:p>
    <w:p>
      <w:r>
        <w:t>TPF 2011 80</w:t>
      </w:r>
    </w:p>
    <w:p>
      <w:r>
        <w:t>81</w:t>
      </w:r>
    </w:p>
    <w:p>
      <w:r>
        <w:t>suscettibili di reclamo. La perquisizione non può intervenire che quando è possibile prendere conoscenza delle carte, ossia dopo la levata dei sigilli. Il sequestro diventa effettivo, dopo la levata dei sigilli, solo quando l’autorità inquirente ha proceduto alla cernita dei documenti e ha deciso di conservare quelli che giudica pertinenti per l’inchiesta. Il proprietario delle carte sequestrate o il terzo sequestratario dispongono allora di facoltà di reclamo contro questa misura (consid. 2).</w:t>
      </w:r>
    </w:p>
    <w:p>
      <w:r>
        <w:t>Editions- und Beschlagnahmeverfügung; Siegelung.</w:t>
      </w:r>
    </w:p>
    <w:p>
      <w:r>
        <w:t>Art. 263, 248 Abs. 1 StPO</w:t>
      </w:r>
    </w:p>
    <w:p>
      <w:r>
        <w:t>Opponiert der Inhaber von Papieren gegen deren Beschlagnahme unter Anrufung eines Aussage- oder Zeugnisverweigerungsrechts oder anderer Gründe, so werden die Papiere versiegelt; die Strafbehörde kann danach innert</w:t>
      </w:r>
    </w:p>
    <w:p>
      <w:r>
        <w:rPr>
          <w:b/>
        </w:rPr>
        <w:t>E. 20</w:t>
      </w:r>
    </w:p>
    <w:p>
      <w:r>
        <w:t>Estratto della decisione della I Corte dei reclami penali nella causa Banca A., B. e C. contro Ministero pubblico della Confederazione del 7 giugno 2011 (BB.2011.20, BB.2011.21, BB.2011.22)</w:t>
      </w:r>
    </w:p>
    <w:p>
      <w:r>
        <w:t>Modalità di verbalizzazione delle deposizioni registrate su supporti tecnici o condotti in lingua straniera.</w:t>
      </w:r>
    </w:p>
    <w:p>
      <w:r>
        <w:t>Art. 76 e segg. CPP</w:t>
      </w:r>
    </w:p>
    <w:p>
      <w:r>
        <w:t>La verbalizzazione integrale delle dichiarazioni rilasciate dall'interrogato nella propria lingua deve rimanere estremamente rara; essa è subordinata ad una necessità essenziale per l'apprezzamento dei fatti di causa da parte di chi dirige il procedimento e costituisce un'eccezione alla regola generale della verbalizzazione nella lingua del procedimento (consid. 2.2).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