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28 vom 1. Januar 2011</w:t>
      </w:r>
    </w:p>
    <w:p>
      <w:r>
        <w:t>Bundesstrafgericht, 2011-01-01, FR</w:t>
      </w:r>
    </w:p>
    <w:p>
      <w:r>
        <w:rPr>
          <w:b/>
        </w:rPr>
        <w:t xml:space="preserve">Quelle: </w:t>
      </w:r>
      <w:r>
        <w:t>https://mcp.opencaselaw.ch/entscheid/bstger_TPF_2011_28</w:t>
      </w:r>
    </w:p>
    <w:p>
      <w:r>
        <w:t>FR: TPF TPF 2011 28 du 1 janvier 2011</w:t>
      </w:r>
    </w:p>
    <w:p>
      <w:r>
        <w:t>IT: TPF TPF 2011 28 del 1 gennaio 2011</w:t>
      </w:r>
    </w:p>
    <w:p>
      <w:pPr>
        <w:pStyle w:val="Heading2"/>
      </w:pPr>
      <w:r>
        <w:t>Regeste</w:t>
      </w:r>
    </w:p>
    <w:p>
      <w:r>
        <w:t>Widerruf des bedingten Strafvollzugs.</w:t>
      </w:r>
    </w:p>
    <w:p>
      <w:pPr>
        <w:pStyle w:val="Heading2"/>
      </w:pPr>
      <w:r>
        <w:t>Erwägungen</w:t>
      </w:r>
    </w:p>
    <w:p>
      <w:r>
        <w:rPr>
          <w:b/>
        </w:rPr>
        <w:t>E. 30</w:t>
      </w:r>
    </w:p>
    <w:p>
      <w:r>
        <w:t>pas autrement. Il appartient dès lors au Tribunal pénal fédéral de se prononcer sur la question de la révocation du sursis prononcé dans son jugement du 21 juin 2007. En application de l’art. 365 CPP, le tribunal statue sur la base du dossier et rend sa décision brièvement motivée par écrit.</w:t>
      </w:r>
    </w:p>
    <w:p>
      <w:r>
        <w:t>1.3 En l’espèce, la Cour a d’office pris l’initiative d’examiner la révocation éventuelle du sursis prononcé le 21 juin 2007 à l’égard de A., ce après avoir reçu des autorités belges, en exécution d’une demande d’entraide, le jugement du Tribunal de première instance de Z. du 10 mai 2010, désormais exécutoire à l’encontre du précité.</w:t>
      </w:r>
    </w:p>
    <w:p>
      <w:r>
        <w:t>1.4 Le jugement belge a été prononcé en l’absence de A. Selon une ancienne jurisprudence du Tribunal fédéral, un jugement qui a été prononcé par contumace à l’étranger et qui n’est encore ni passé en force, ni exécutoire, ne suffit pas pour faire exécuter une peine prononcée en Suisse (ATF 95 IV 125). En l’espèce, le jugement belge, quand bien même il a été rendu par contumace, est entré en force de chose jugée; il constitue dès lors, pour le juge suisse, l’élément déclencheur de l’examen de la révocation du sursis.</w:t>
      </w:r>
    </w:p>
    <w:p>
      <w:r>
        <w:t>1.7 Les infractions commises par A. en Belgique ont été notamment qualifiées selon l’art. 140 du Code pénal belge, dont la teneur est la suivante:</w:t>
      </w:r>
    </w:p>
    <w:p>
      <w:r>
        <w:t>§ 1er. Toute personne qui participe à une activité d'un groupe terroriste, y compris par la fourniture d'informations ou de moyens matériels au groupe terroriste, ou par toute forme de financement d'une activité du groupe terroriste, en ayant connaissance que cette participation contribue à commettre un crime ou un délit du groupe terroriste, sera punie de la réclusion de cinq ans à dix ans et d'une amende de cent euros à cinq mille euros.</w:t>
      </w:r>
    </w:p>
    <w:p>
      <w:r>
        <w:t>§ 2. Tout dirigeant du groupe terroriste est passible de la réclusion de quinze ans à vingt ans et d'une amende de mille euros à deux cent mille euros.</w:t>
      </w:r>
    </w:p>
    <w:p>
      <w:r>
        <w:t>Transposé en droit suisse, cet article correspond dans les grandes lignes à la disposition réprimant l’organisation criminelle, prévue à l’art. 260ter CP. Cette infraction est un crime ou un délit selon le droit suisse (ATF 80 IV</w:t>
      </w:r>
    </w:p>
    <w:p>
      <w:r>
        <w:t>TPF 2011 31</w:t>
      </w:r>
    </w:p>
    <w:p>
      <w:r>
        <w:rPr>
          <w:b/>
        </w:rPr>
        <w:t>E. 31</w:t>
      </w:r>
    </w:p>
    <w:p>
      <w:r>
        <w:t>214 consid. 3). Il y a donc lieu d’entrer en matière sur la question de la révocation du sursis.</w:t>
      </w:r>
    </w:p>
    <w:p>
      <w:r>
        <w:t>TPF 2011 31</w:t>
      </w:r>
    </w:p>
    <w:p>
      <w:r>
        <w:t>10. Extrait de la décision de la Ire Cour des plaintes dans la cause A. GmbH contre Ministère public de la Confédération du 14 mars 2011 (BB.2011.2)</w:t>
      </w:r>
    </w:p>
    <w:p>
      <w:r>
        <w:t>Recours devenu sans objet; frais.</w:t>
      </w:r>
    </w:p>
    <w:p>
      <w:r>
        <w:t>Art. 428 al. 1 CPP</w:t>
      </w:r>
    </w:p>
    <w:p>
      <w:r>
        <w:t>Le législateur n'a pas réglé expressément, dans le CPP, le sort des frais liés à une procédure de recours devenue sans objet. En l'espèce, le litige ayant pris fin ensuite de la levée, par le MPC, du séquestre entrepris, cette dernière autorité doit être considérée comme la partie qui succombe. Les frais sont partant pris en charge par la caisse de l'Etat, le MPC devant quant à lui s'acquitter d'une indemnité de dépens en faveur de la recourante.</w:t>
      </w:r>
    </w:p>
    <w:p>
      <w:r>
        <w:t>Gegenstandslos gewordene Beschwerde; Kosten.</w:t>
      </w:r>
    </w:p>
    <w:p>
      <w:r>
        <w:t>Art. 428 Abs. 1 StPO</w:t>
      </w:r>
    </w:p>
    <w:p>
      <w:r>
        <w:t>In der Strafprozessordnung (StPO) wurde die Auferlegung der Prozesskosten für den Fall des Gegenstandsloswerdens eines Beschwerdeverfahrens vom Gesetzgeber nicht ausdrücklich geregelt. Vorliegend wurde das Verfahren beendet, nachdem die BA die von ihr verhängte Beschlagnahme aufgehoben hatte. Sie ist deshalb als unterliegende Partei zu erachten. Demzufolge werden die Kosten durch die Staatskasse übernommen. Seinerseits hat die BA eine Parteientschädigung zugunsten der Beschwerdeführerin zu entrichten.</w:t>
      </w:r>
    </w:p>
    <w:p>
      <w:r>
        <w:t>Reclamo divenuto privo di oggetto; spese.</w:t>
      </w:r>
    </w:p>
    <w:p>
      <w:r>
        <w:t>Art. 428 al. 1 CPP</w:t>
      </w:r>
    </w:p>
    <w:p>
      <w:r>
        <w:t>Il legislatore non ha esplicitamente regolato nel CPP la sorte delle spese in una procedura di reclamo divenuta priva di oggetto. Nella fattispecie, la controversia ha preso fine in seguito al dissequestro pronunciato dal MPC, ragion per cui quest’ultima autorità deve essere considerata come parte soccombente. Le spese sono pertanto poste a carico della cassa della Confederazione; il MPC è dal canto suo tenuto a versare delle spese ripetibili in favore della reclamante.</w:t>
      </w:r>
    </w:p>
    <w:p>
      <w:r>
        <w:t>La Ire Cour des plaintes considère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