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165 vom 30. Januar 2009</w:t>
      </w:r>
    </w:p>
    <w:p>
      <w:r>
        <w:t>Bundesstrafgericht, 2009-01-30, FR</w:t>
      </w:r>
    </w:p>
    <w:p>
      <w:r>
        <w:rPr>
          <w:b/>
        </w:rPr>
        <w:t xml:space="preserve">Quelle: </w:t>
      </w:r>
      <w:r>
        <w:t>https://mcp.opencaselaw.ch/entscheid/bstger_TPF_2011_165</w:t>
      </w:r>
    </w:p>
    <w:p>
      <w:r>
        <w:t>FR: TPF TPF 2011 165 du 30 janvier 2009</w:t>
      </w:r>
    </w:p>
    <w:p>
      <w:r>
        <w:t>IT: TPF TPF 2011 165 del 30 gennaio 2009</w:t>
      </w:r>
    </w:p>
    <w:p>
      <w:pPr>
        <w:pStyle w:val="Heading2"/>
      </w:pPr>
      <w:r>
        <w:t>Regeste</w:t>
      </w:r>
    </w:p>
    <w:p>
      <w:r>
        <w:t>Beschlagnahme; besondere Untersuchungsmassnahmen.</w:t>
      </w:r>
    </w:p>
    <w:p>
      <w:pPr>
        <w:pStyle w:val="Heading2"/>
      </w:pPr>
      <w:r>
        <w:t>Erwägungen</w:t>
      </w:r>
    </w:p>
    <w:p>
      <w:r>
        <w:rPr>
          <w:b/>
        </w:rPr>
        <w:t>E. 4.1</w:t>
      </w:r>
    </w:p>
    <w:p>
      <w:r>
        <w:t>Dans le cas d’espèce, l’AFC a maintenu le séquestre DPA sur les fonds des plaignants même après la fin de son enquête et l’ACI a ordonné des mesures de sûretés le 5 décembre 2008, puis a prononcé des ordonnances de séquestre en prestation de sûretés. Les valeurs visées sont en substance les mêmes que celles saisies par l’AFC.</w:t>
      </w:r>
    </w:p>
    <w:p>
      <w:r>
        <w:t>La LIFD ne contient aucune disposition permettant de conclure que lorsque des mesures de sûretés sont ordonnées par les autorités cantonales, la saisie de l’art. 46 DPA doit être automatiquement révoquée. La jurisprudence n’apparaît pas s’être souvent penchée sur la question. Dans un arrêt 8G.83/2001 du 25 janvier 2002, le Tribunal fédéral a précisé dans un contexte similaire à celui de la présente cause que l’argument soulevé par les recourants et selon lequel, après l’ouverture de la procédure cantonale, l’AFC n’était plus compétente pour ordonner des mesures de contrainte en lien avec la procédure ouverte, était manifestement mal fondé (consid. 2c). Par ailleurs, dans cet arrêt, la Haute Cour a également considéré que les avoirs bloqués par les décisions de séquestre de l’AFC «pourront le cas échéant servir à la couverture de l’éventuelle perte d’impôts». Elle a relevé en outre «que la décision de sûretés déjà rendue ne suffit pas à garantir que d’éventuelles valeurs ne soient dérobées aux autorités fiscales d’ici la fin de l’enquête» (consid. 4d et 4e) et a dès lors maintenu les séquestres DPA contestés. On peut donc en conclure que rien n’empêche la coexistence des deux différents types de mesures concernées et ce même après que l’AFC a terminé son enquête. D’un point de vue pratique, dans sa détermination du 28 octobre 2010, l’AFC indique «qu’au terme de l’enquête, lorsque l’assiette fiscale peut être calculée de manière précise, les séquestres DPA sont habituellement remplacés par des sûretés. Celles-ci portent généralement sur les mêmes valeurs que les séquestres DPA. Avec l’entrée en force des sûretés, ce double séquestre des mêmes valeurs devient inutile puisque le rappel d’impôt (correspondant à la confiscation) et les amendes relèvent de la compétence du canton et qu’ils sont assurés par lesdites</w:t>
      </w:r>
    </w:p>
    <w:p>
      <w:r>
        <w:t>TPF 2011 165</w:t>
      </w:r>
    </w:p>
    <w:p>
      <w:r>
        <w:t>169</w:t>
      </w:r>
    </w:p>
    <w:p>
      <w:r>
        <w:t>sûretés». Certes, laborieuse, cette pratique permet à la fois de tenir compte du partage des compétences entre l’autorité fédérale et les cantons dans le domaine de la poursuite fiscale et des spécificités procédurales de la saisie DPA (procédure pénale), d’une part, et des mesures de sûretés (instrument de perception dans le cadre d’une procédure administrative), d’autre part (cf. supra consid. 3.3). Cette pratique permet en outre d’assurer la disponibilité des avoirs à confisquer dans l’hypothèse où une soustraction grave d’impôts est vraisemblable ou constatée et que l’ACI ne pourrait pas demander des sûretés à défaut de la réalisation des conditions prévues par l’art. 169 LIFD ou, lorsque la demande de sûretés, frappée d’un recours, pourrait être annulée alors que la soustraction d’impôt a été prouvée.</w:t>
      </w:r>
    </w:p>
    <w:p>
      <w:r>
        <w:t>L’éventualité d’une double saisie sur les mêmes valeurs n’est d’ailleurs pas forcément illégale et elle est connue dans d’autres domaines du droit suisse. A titre d’exemple, il y a lieu de relever que dans le cadre d’une saisie pénale ordonnée aux fins d’une enquête pénale, la jurisprudence admet notamment que les mêmes valeurs peuvent également faire l’objet d’une saisie administrative ordonnée dans le cadre d’une procédure d’entraide internationale sans qu’une telle situation ne soit, en elle-même, contraire à la loi (ATF 123 II 268 consid. 4 a/cc et c). Déjà pour ces raisons le grief de l’illégalité soulevé par les plaignants doit être rejeté.</w:t>
      </w:r>
    </w:p>
    <w:p>
      <w:r>
        <w:t>4.3.2 La LIFD et le DPA sont muets sur (…) [la question de savoir quelle est l’autorité habilitée à se prononcer sur le sort final des séquestres]. La LIFD spécifie que si l’AFC aboutit à la conclusion qu’une soustraction d’impôt (art. 175 et 176) a été commise, elle requiert l’autorité cantonale compétente d’engager la procédure en soustraction (art. 194 al. 1). L’instruction terminée, l’ACI rend une décision, qui est notifiée par écrit à l’intéressé (art. 182 al. 1 LIFD); la LIFD ne précise pas quel doit en être le</w:t>
      </w:r>
    </w:p>
    <w:p>
      <w:r>
        <w:t>TPF 2011 170 170</w:t>
      </w:r>
    </w:p>
    <w:p>
      <w:r>
        <w:t>contenu. En revanche, dans le DPA il est expressément prévu, lorsque la cause est déléguée à un tribunal cantonal pour jugement, que l’autorité cantonale doit alors se prononcer sur le sort des objets séquestrés (art. 79 al. 1 DPA). Dans la mesure où une telle précision n’existe pas dans le cas de la délégation d’une affaire à l’ACI au sens de l’art. 194 al. 1 DPA, il faut admettre, contrairement à ce que soutient l’AFC, que le silence de la loi ne permet pas aux autorités fiscales cantonales de se prononcer sur le sort des objets séquestrés sur la base du DPA par l’autorité fédérale, seule cette dernière étant habilitée à le faire. Il appartiendra donc à l’AFC de se prononcer sur le sort final des séquestres DPA, une fois les procédures cantonales terminées.</w:t>
      </w:r>
    </w:p>
    <w:p>
      <w:r>
        <w:t>TPF 2011 170</w:t>
      </w:r>
    </w:p>
    <w:p>
      <w:r>
        <w:t>39. Auszug aus dem Beschluss der I. Beschwerdekammer in Sachen Kanton Zürich gegen Bundesanwaltschaft vom 12. Oktober 2011 (BG.2011.27)</w:t>
      </w:r>
    </w:p>
    <w:p>
      <w:r>
        <w:t>Sachliche Zuständigkeit.</w:t>
      </w:r>
    </w:p>
    <w:p>
      <w:r>
        <w:t>Art. 28 StPO</w:t>
      </w:r>
    </w:p>
    <w:p>
      <w:r>
        <w:t>Das vermehrte Auftreten von Phishing-Fällen in der Schweiz erfordert eine pragmatische Lösung. Die Verfolgung der wohl überwiegend im Ausland ansässigen Hintermänner bedarf aufgrund der Komplexität des Verfahrens, insbesondere durch den internationalen Konnex und der technischen Schwierigkeiten einer einheitlichen, koordinierten Durchführung, weswegen sich diesbezüglich die Zuständigkeit des Bundes rechtfertigt. Hingegen kann für die – meist im Inland tätigen – Finanzmanager keine Bundeszuständigkeit begründet werden (E. 2).</w:t>
      </w:r>
    </w:p>
    <w:p>
      <w:r>
        <w:t>Compétence matérielle.</w:t>
      </w:r>
    </w:p>
    <w:p>
      <w:r>
        <w:t>Art. 28 CPP</w:t>
      </w:r>
    </w:p>
    <w:p>
      <w:r>
        <w:t>La recrudescence des cas de "phishing" en Suisse requiert une solution pragmatique. En raison de la complexité de la procédure, en particulier au vu de la connexité internationale et des difficultés techniques, la poursuite des acteurs responsables, le plus souvent résidant à l'étranger nécessite une exécution uniforme et coordonnée, si bien que la compétence de la Confédération se justifie en l'espèce. En revanche, une compétence de la Confédération ne peut être justifiée en ce qui concerne les gestionnaires financiers – le plus souvent actifs sur le plan national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