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118 vom 1. Januar 2011</w:t>
      </w:r>
    </w:p>
    <w:p>
      <w:r>
        <w:t>Bundesstrafgericht, 2011-01-01, IT</w:t>
      </w:r>
    </w:p>
    <w:p>
      <w:r>
        <w:rPr>
          <w:b/>
        </w:rPr>
        <w:t xml:space="preserve">Quelle: </w:t>
      </w:r>
      <w:r>
        <w:t>https://mcp.opencaselaw.ch/entscheid/bstger_TPF_2011_118</w:t>
      </w:r>
    </w:p>
    <w:p>
      <w:r>
        <w:t>FR: TPF TPF 2011 118 du 1 janvier 2011</w:t>
      </w:r>
    </w:p>
    <w:p>
      <w:r>
        <w:t>IT: TPF TPF 2011 118 del 1 gennaio 2011</w:t>
      </w:r>
    </w:p>
    <w:p>
      <w:pPr>
        <w:pStyle w:val="Heading2"/>
      </w:pPr>
      <w:r>
        <w:t>Regeste</w:t>
      </w:r>
    </w:p>
    <w:p>
      <w:r>
        <w:t>Internationale Rechtshilfe in Strafsachen an Monaco; vorläufige Festnahme zur Auslieferung.</w:t>
      </w:r>
    </w:p>
    <w:p>
      <w:pPr>
        <w:pStyle w:val="Heading2"/>
      </w:pPr>
      <w:r>
        <w:t>Erwägungen</w:t>
      </w:r>
    </w:p>
    <w:p>
      <w:r>
        <w:rPr>
          <w:b/>
        </w:rPr>
        <w:t>E. 16</w:t>
      </w:r>
    </w:p>
    <w:p>
      <w:r>
        <w:t>CEEstr.</w:t>
      </w:r>
    </w:p>
    <w:p>
      <w:r>
        <w:t>2.3 Concludendo, dato che le modalità e la durata dell’arresto provvisorio non prestano il fianco a nessuna critica, se non fosse stato dichiarato privo di oggetto, il gravame avrebbe dovuto essere respinto, per cui si giustifica di accollare una tassa di giustizia a carico della reclamante. […].</w:t>
      </w:r>
    </w:p>
    <w:p>
      <w:r>
        <w:t>TPF 2011 124</w:t>
      </w:r>
    </w:p>
    <w:p>
      <w:r>
        <w:t>28. Estratto della sentenza della II Corte dei reclami penali nella causa Silvio Berlusconi contro Ministero pubblico della Confederazione del 15 luglio 2011 (RR.2011.179)</w:t>
      </w:r>
    </w:p>
    <w:p>
      <w:r>
        <w:t>Assistenza giudiziaria internazionale in materia penale all'Italia; partecipazione a videoconferenza.</w:t>
      </w:r>
    </w:p>
    <w:p>
      <w:r>
        <w:t>Art. 80e cpv. 2 lett. b AIMP, art. VI Accordo italo-svizzero che completa e agevola l'applicazione della CEAG</w:t>
      </w:r>
    </w:p>
    <w:p>
      <w:r>
        <w:t>La videoconferenza è una forma alternativa di presenza di persone che partecipano a processo estero, per cui vi è motivo di sussumere l'atto in questione all'ipotesi di cui all'art. 80e cpv. 2 lett. b AIMP. Il rifiuto dell'autorità d'esecuzione di ammettere la presenza di un difensore svizzero dell'imputato all'estero all'atto istruttorio dibattimentale eseguito per via rogatoriale causa un pregiudizio immediato e irreparabile, nella misura in cui trattandosi di interrogatori di terzi, soltanto quest’ultimi saranno in linea di massima legittimati a ricorrere contro la decisione di chiusura riguardante la trasmissione in quanto tale delle prove raccolte nell’ambito di tali atti istruttori, operazione che avrà luogo se le condizioni dell'assistenza saranno riunite (consid. 1.4).</w:t>
      </w:r>
    </w:p>
    <w:p>
      <w:r>
        <w:t>Non riguardando la commissione rogatoria un atto istruttorio predibattimentale, ma la celebrazione di un’udienza dibattimentale da parte di un tribunale estero nel processo in cui il ricorrente è imputato, quest'ultimo ha il diritto di assistervi e/o di farsi rappresentare, anche per non pregiudicare l'utilizzabilità delle prove nella procedura estera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