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154 vom 1. Januar 2010</w:t>
      </w:r>
    </w:p>
    <w:p>
      <w:r>
        <w:t>Bundesstrafgericht, 2010-01-01, IT</w:t>
      </w:r>
    </w:p>
    <w:p>
      <w:r>
        <w:rPr>
          <w:b/>
        </w:rPr>
        <w:t xml:space="preserve">Quelle: </w:t>
      </w:r>
      <w:r>
        <w:t>https://mcp.opencaselaw.ch/entscheid/bstger_TPF_2010_154</w:t>
      </w:r>
    </w:p>
    <w:p>
      <w:r>
        <w:t>FR: TPF TPF 2010 154 du 1 janvier 2010</w:t>
      </w:r>
    </w:p>
    <w:p>
      <w:r>
        <w:t>IT: TPF TPF 2010 154 del 1 gennaio 2010</w:t>
      </w:r>
    </w:p>
    <w:p>
      <w:pPr>
        <w:pStyle w:val="Heading2"/>
      </w:pPr>
      <w:r>
        <w:t>Regeste</w:t>
      </w:r>
    </w:p>
    <w:p>
      <w:r>
        <w:t>Beschlagnahme; Nichtvorhandensein genügender Anhaltspunkte.</w:t>
      </w:r>
    </w:p>
    <w:p>
      <w:pPr>
        <w:pStyle w:val="Heading2"/>
      </w:pPr>
      <w:r>
        <w:t>Erwägungen</w:t>
      </w:r>
    </w:p>
    <w:p>
      <w:r>
        <w:rPr>
          <w:b/>
        </w:rPr>
        <w:t>E. 2</w:t>
      </w:r>
    </w:p>
    <w:p>
      <w:r>
        <w:t>Il sequestro, così come il blocco del registro fondiario per i fondi, costituiscono misure processuali provvisionali volte ad assicurare i mezzi di prova nel corso dell’inchiesta (art. 65 PP); parimenti si possono sequestrare oggetti e beni patrimoniali sottostanti presumibilmente a confisca ai sensi degli artt. 69 segg. CP (v. art. 59 vCP: sentenza del Tribunale federale 1S.2/2004 del 6 agosto 2004, consid. 2.2; DTF 124 IV 313 consid. 4 e riferimenti ivi citati); fintanto che sussiste una possibilità di confisca, l’interesse pubblico impone di mantenere il sequestro penale (DTF 125 IV 222 consid. 2 non pubblicato; 124 IV 313 consid. 3b e 4; SJ 1994 pag. 97, 102).</w:t>
      </w:r>
    </w:p>
    <w:p>
      <w:r>
        <w:t>Per sua natura, tale provvedimento va preso rapidamente ritenuto che, di regola, spetterà al giudice di merito pronunciare le misure definitive e determinare i diritti dei terzi sui beni in questione. Come in tutti gli istituti procedurali che intaccano eccezionalmente i diritti individuali per prevalenza di interesse pubblico, il sequestro è legittimo unicamente in presenza concorrente di sufficienti indizi di reato e di connessione tra questo e l’oggetto che occorre salvaguardare agli incombenti dell’autorità inquirente; la misura ordinata deve inoltre essere rispettosa del principio della proporzionalità (HAUSER/SCHWERI/HARTMANN, Schweizerisches Strafprozessrecht, 6a ediz., Basilea 2005, pag. 341 n. 3; PIQUEREZ, Traité de procédure pénale suisse, 2a ediz., Ginevra/Zurigo/Basilea 2006, n. 914).</w:t>
      </w:r>
    </w:p>
    <w:p>
      <w:r>
        <w:t>Nelle fasi iniziali dell’inchiesta penale non ci si dovrà mostrare troppo esigenti quanto al fondamento del sospetto: è infatti sufficiente che il carattere illecito dei fatti rimproverati appaia verosimile. L’indizio di reato deve però concretizzarsi e rafforzarsi nel corso del procedimento in modo che “la prospettiva di una condanna deve sembrare vieppiù fortemente verosimile” (cfr. sentenza del Tribunale federale 1S.3/2005 del 7 febbraio 2005, consid. 2.3; sentenza del Tribunale Penale Federale BB.2006.16 del 24 luglio 2006, consid. 2.1 e riferimenti ivi citati); le esigenze poste all’intensificazione dell’indizio di reato man mano che aumenta la durata del provvedimento coercitivo non devono tuttavia essere eccessive (TPF 2006 269 consid. 2.2). Adita con un reclamo, la I Corte dei reclami penali non può statuire sul merito del procedimento penale, ma deve limitarsi ad esaminare l’ammissibilità del sequestro in quanto tale (DTF 119 IV 326 consid. 7c e 7d pag. 328).</w:t>
      </w:r>
    </w:p>
    <w:p>
      <w:r>
        <w:t>TPF 2010 154</w:t>
      </w:r>
    </w:p>
    <w:p>
      <w:r>
        <w:t>157</w:t>
      </w:r>
    </w:p>
    <w:p>
      <w:r>
        <w:t>3.4 (…) va considerato che agli atti, a più di un anno dall’apertura dell’indagine preliminare (anche se né D. né la ricorrente sono ancora stati sentiti dall’autorità inquirente), non è presente alcun indizio concreto che lasci presumere che gli averi sequestrati siano stati oggetto di attività di riciclaggio; di particolare rilievo è il fatto che il conto n. 2 è stato alimentato precedentemente al 1998 e dunque almeno otto anni prima del 2006, anno in cui in Italia si inizia a contestare agli indagati il traffico illecito di stupefacenti. Inoltre, il MPC non ha fornito nessuna indicazione in merito ad eventuali attività di riciclaggio sul conto in questione, ossia atti suscettibili di vanificare l'accertamento dell'origine, il ritrovamento o la confisca di valori patrimoniali provenienti da un crimine. In particolare, non vi sono agli atti elementi che lascino supporre una connessione tra i reati oggetto di indagine in Italia o le altre relazioni bancarie sequestrate in ambito rogatoriale, e la relazione bancaria intestata alla ricorrente (e ciò sebbene l’analisi finanziaria delle relazioni sia in corso, anche se non ancora terminata). Di particolare rilievo è il fatto che non è stata dimostrata l’entrata di fondi sulla relazione sequestrata dal momento in cui sarebbero iniziate le attività illecite imputate agli indagati in Italia, e neppure sono stati forniti indizi di legami tra D. o qualcuno degli indagati in Italia e il conto intestato alla ricorrente, conto in merito al quale non risulta neppure che D. abbia legami formali o sostanziali.</w:t>
      </w:r>
    </w:p>
    <w:p>
      <w:r>
        <w:t>3.5 Si deve pertanto concludere che gli elementi invocati dall’autorità inquirente a sostegno del sequestro sono insufficienti rispetto alle esigenze legali e giurisprudenziali. Infatti, non è possibile trovare nel dossier gli indizi sufficienti – condizione cardine per la pronuncia di un sequestro – a permettere di sospettare che i valori patrimoniali sequestrati sono serviti a commettere un’infrazione o ne sono il prodotto.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