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126 vom 10. August 2010</w:t>
      </w:r>
    </w:p>
    <w:p>
      <w:r>
        <w:t>Bundesstrafgericht, 2010-08-10, FR</w:t>
      </w:r>
    </w:p>
    <w:p>
      <w:r>
        <w:rPr>
          <w:b/>
        </w:rPr>
        <w:t xml:space="preserve">Quelle: </w:t>
      </w:r>
      <w:r>
        <w:t>https://mcp.opencaselaw.ch/entscheid/bstger_TPF_2010_126</w:t>
      </w:r>
    </w:p>
    <w:p>
      <w:r>
        <w:t>FR: TPF TPF 2010 126 du 10 août 2010</w:t>
      </w:r>
    </w:p>
    <w:p>
      <w:r>
        <w:t>IT: TPF TPF 2010 126 del 10 agosto 2010</w:t>
      </w:r>
    </w:p>
    <w:p>
      <w:pPr>
        <w:pStyle w:val="Heading2"/>
      </w:pPr>
      <w:r>
        <w:t>Regeste</w:t>
      </w:r>
    </w:p>
    <w:p>
      <w:r>
        <w:t>Unentgeltlichkeit der Übersetzerkosten.</w:t>
      </w:r>
    </w:p>
    <w:p>
      <w:pPr>
        <w:pStyle w:val="Heading2"/>
      </w:pPr>
      <w:r>
        <w:t>Erwägungen</w:t>
      </w:r>
    </w:p>
    <w:p>
      <w:r>
        <w:rPr>
          <w:b/>
        </w:rPr>
        <w:t>E. 29</w:t>
      </w:r>
    </w:p>
    <w:p>
      <w:r>
        <w:t>Auszug aus dem Entscheid der I. Beschwerdekammer in Sachen A. AG gegen Eidgenössische Steuerverwaltung vom 10. August 2010 (BV.2010.46)</w:t>
      </w:r>
    </w:p>
    <w:p>
      <w:r>
        <w:t>Schriftliche Auskünfte; Hinweis auf Aussageverweigerungsrecht und Wahrheitspflicht.</w:t>
      </w:r>
    </w:p>
    <w:p>
      <w:r>
        <w:t>Art. 40 VStrR</w:t>
      </w:r>
    </w:p>
    <w:p>
      <w:r>
        <w:t>Holt eine Verwaltungsstrafbehörde des Bundes gestützt auf Art. 40 VStrR schriftliche Auskünfte ein, so hat sie den Adressaten zu informieren, in welcher Beweisrolle er befragt wird, und ihn auf die entsprechenden Aussageverweigerungsrechte und Wahrheitspflichten aufmerksam zu machen (E. 2.1–2.4).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