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2010 113 vom 1. Januar 2010</w:t>
      </w:r>
    </w:p>
    <w:p>
      <w:r>
        <w:t>Bundesstrafgericht, 2010-01-01, FR</w:t>
      </w:r>
    </w:p>
    <w:p>
      <w:r>
        <w:rPr>
          <w:b/>
        </w:rPr>
        <w:t xml:space="preserve">Quelle: </w:t>
      </w:r>
      <w:r>
        <w:t>https://mcp.opencaselaw.ch/entscheid/bstger_TPF_2010_113</w:t>
      </w:r>
    </w:p>
    <w:p>
      <w:r>
        <w:t>FR: TPF TPF 2010 113 du 1 janvier 2010</w:t>
      </w:r>
    </w:p>
    <w:p>
      <w:r>
        <w:t>IT: TPF TPF 2010 113 del 1 gennaio 2010</w:t>
      </w:r>
    </w:p>
    <w:p>
      <w:pPr>
        <w:pStyle w:val="Heading2"/>
      </w:pPr>
      <w:r>
        <w:t>Regeste</w:t>
      </w:r>
    </w:p>
    <w:p>
      <w:r>
        <w:t>Rechtsverzögerung; Anwendbarkeit der Regeln des IRSG im Rahmen des nationalen Strafverfahrens.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Auszug aus dem Entscheid der I. Beschwerdekammer in Sachen A., B. AG, C. AG und D. AG gegen Bundesanwaltschaft vom 14. Juli 2010 (BB.2009.88, BB.2009.89, BB.2009.90, BB.2009.91)</w:t>
      </w:r>
    </w:p>
    <w:p>
      <w:r>
        <w:t>Aktenbeizug; Durchsuchung.</w:t>
      </w:r>
    </w:p>
    <w:p>
      <w:r>
        <w:t>Art. 69 Abs. 3, 105bis Abs. 2 BStP (Art. 248, 194 StPO)</w:t>
      </w:r>
    </w:p>
    <w:p>
      <w:r>
        <w:t>Der Beizug von im Rahmen eines Rechtshilfeverfahrens erhobenen Akten in ein gerichtspolizeiliches Ermittlungsverfahren stellt eine Amtshandlung dar.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