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11 vom 8. Juni 2009</w:t>
      </w:r>
    </w:p>
    <w:p>
      <w:r>
        <w:t>Bundesstrafgericht, 2009-06-08, DE</w:t>
      </w:r>
    </w:p>
    <w:p>
      <w:r>
        <w:rPr>
          <w:b/>
        </w:rPr>
        <w:t xml:space="preserve">Quelle: </w:t>
      </w:r>
      <w:r>
        <w:t>https://mcp.opencaselaw.ch/entscheid/bstger_TPF_2010_11</w:t>
      </w:r>
    </w:p>
    <w:p>
      <w:r>
        <w:t>FR: TPF TPF 2010 11 du 8 juin 2009</w:t>
      </w:r>
    </w:p>
    <w:p>
      <w:r>
        <w:t>IT: TPF TPF 2010 11 del 8 giugno 2009</w:t>
      </w:r>
    </w:p>
    <w:p>
      <w:pPr>
        <w:pStyle w:val="Heading2"/>
      </w:pPr>
      <w:r>
        <w:t>Regeste</w:t>
      </w:r>
    </w:p>
    <w:p>
      <w:r>
        <w:t>Anklagegrundsatz; Inhalt der Anklageschrift bei Fahrlässigkeitsdelikten.</w:t>
      </w:r>
    </w:p>
    <w:p>
      <w:pPr>
        <w:pStyle w:val="Heading2"/>
      </w:pPr>
      <w:r>
        <w:t>Erwägungen</w:t>
      </w:r>
    </w:p>
    <w:p>
      <w:r>
        <w:rPr>
          <w:b/>
        </w:rPr>
        <w:t>E. 14</w:t>
      </w:r>
    </w:p>
    <w:p>
      <w:r>
        <w:t>6B_8/2008 vom 28. August 2008 E. 3.1). Die Anklageschrift hat eine doppelte Bedeutung: Sie dient einerseits der Bestimmung des Prozessgegenstandes (Umgrenzungsfunktion), andererseits vermittelt sie dem Angeklagten die für die Durchführung des Verfahrens und die Verteidigung notwendigen Informationen (Informationsfunktion) und fixiert somit das Verfahrens- und Urteilsthema (HAUSER/SCHWERI/HARTMANN, Schweizerisches Strafprozessrecht, 6. Aufl., Basel/Genf/München 2005, § 50 N. 6 und 8). Nach bundesgerichtlicher Rechtsprechung muss sich aus der Anklageschrift ergeben, welches historische Ereignis, welcher Lebensvorgang, welche Handlung oder Unterlassung des Angeklagten, den Gegenstand der Beurteilung bilden soll, und welcher strafrechtliche Tatbestand in dieser Handlung zu finden ist. Die Tat ist zu individualisieren, das heisst „ihre tatsächlichen Verumständungen oder Tatbestandsmerkmale“ sind anzugeben und es sind „die einzelnen rechtlichen Elemente des Delikts hervorzuheben“ (BGE 120 IV 348 E. 3c; vgl. auch Art. 126 Abs. 1 Ziff. 2 BStP). Bei mehreren Angeklagten muss sich aus der Anklageschrift klar ergeben, welche Tatbeiträge jedem einzelnen Angeklagten in welcher Beteiligungsform zur Last gelegt werden. Zu den gesetzlichen Merkmalen der strafbaren Handlung gehört neben den Tatbestandsmerkmalen die Schuldform, sofern vorsätzliches und fahrlässiges Verhalten strafbar sind. Bei Fahrlässigkeitsdelikten sind sämtliche tatsächlichen Umstände anzuführen, aus denen sich die Pflichtwidrigkeit des vorgeworfenen Verhaltens sowie die Vorhersehbarkeit und Vermeidbarkeit des eingetretenen Erfolges ergeben sollen (BGE 116 Ia 455 E. 3a cc; 120 IV 38 E. 3c). Der eigentliche Beweis des dargestellten Sachverhalts ist indessen in der Hauptverhandlung und nicht in der Anklageschrift zu führen (BGE 120 IV 348 E. 3e).</w:t>
      </w:r>
    </w:p>
    <w:p>
      <w:r>
        <w:t>Die vorliegende Anklageschrift genügt diesen Voraussetzungen. Die den Angeklagten zur Last gelegte Tat wird genügend klar dargestellt und der Vorwurf in tatbestandlicher Hinsicht ausreichend konkretisiert. So beschreibt die Anklageschrift den Ablauf des Landeanflugs präzise, führt örtliche und zeitliche Hinweise auf, bezeichnet für jeden der beiden Angeklagten, worin seine Stellung (Kommandant, Copilot), Aufgaben (z.B. Instrumentenüberwachung, Überwachung der Aussenreferenzen, Flugent- scheide) und Handlungen (z.B. Pilotieren der Maschine, Befehlserteilung, Einleitung eines Durchstarts) bestanden hätten; sie legt dar, über welche Kenntnisse (so betreffend Flugkunde, Orts- und Wetterkenntnisse) die Angeklagten verfügten, inwiefern ihr Tun pflichtwidrig (in Bezug auf Wahl und Durchführung des Landeanflugs unter Berücksichtigung der</w:t>
      </w:r>
    </w:p>
    <w:p>
      <w:r>
        <w:t>TPF 2010 15</w:t>
      </w:r>
    </w:p>
    <w:p>
      <w:r>
        <w:rPr>
          <w:b/>
        </w:rPr>
        <w:t>E. 15</w:t>
      </w:r>
    </w:p>
    <w:p>
      <w:r>
        <w:t>Vorschriften des Flughandbuchs sowie der Wetterverhältnisse) und für den Erfolg kausal (Fortsetzung des nicht stabilisierten Landeanflugs unter Mindesthöhe und zu spät eingeleiteter Durchstart) gewesen sei, inwiefern die Gefährdung der Passagiere und übrigen Besatzungsmitglieder voraussehbar (Flugausbildung und -erfahrung sowie Orts- und Wetterkenntnisse), eine alternative Handlungsweise zumutbar (Zuwarten mit bzw. Abbruch des Landeanflugs in einem früheren Stadium) und der Erfolg damit vermeidbar gewesen seien. Die Rüge der Verletzung des Anklagegrundsatzes ist demnach unbegründet.</w:t>
      </w:r>
    </w:p>
    <w:p>
      <w:r>
        <w:t>1.3.1 Gemäss Art. 97 Abs. 1 LFG gilt das schweizerische Strafrecht auch für Taten, die an Bord eines schweizerischen Luftfahrzeugs ausserhalb der Schweiz verübt werden. Das betrifft alle Straftatbestände, namentlich auch Art. 237 StGB (Urteil des Bundesgerichts 1B_267/2008 vom 5. Februar 2009). Das den Angeklagten laut Anklageschrift zur Last fallende Fehlverhalten wurde an Bord eines schweizerischen Flugzeugs (E. 1.1) begangen. Die Voraussetzungen zur Anwendung des schweizerischen Strafrechts sind demnach vorliegend erfüllt. Das ausländische Recht ist, anders als bei sonstigen Auslandstaten von Inländern (Art. 7 Abs. 3 StGB [Art. 6 Ziff. 1 aStGB]), nicht zu berücksichtigen.</w:t>
      </w:r>
    </w:p>
    <w:p>
      <w:r>
        <w:t>TPF 2010 15</w:t>
      </w:r>
    </w:p>
    <w:p>
      <w:r>
        <w:t>4. Extrait de l’arrêt de la Cour des affaires pénales dans la cause Ministère public de la Confédération, A. et B. contre C. du 10 septembre 2009 (SK.2008.24)</w:t>
      </w:r>
    </w:p>
    <w:p>
      <w:r>
        <w:t>Gestion déloyale des intérêts publics; lésion des intérêts publics d'une Ecole universitaire.</w:t>
      </w:r>
    </w:p>
    <w:p>
      <w:r>
        <w:t>Art. 314 CP, art. 332 CO</w:t>
      </w:r>
    </w:p>
    <w:p>
      <w:r>
        <w:t>La lésion des intérêts publics a été niée en cas d'exécution (admissible ou inadmissible) de mandats de recherche privés de la part d'un professeur ordinaire d'une Ecole universitaire (consid. 2.2.2.4).</w:t>
      </w:r>
    </w:p>
    <w:p>
      <w:r>
        <w:t>La perte des droits de propriété intellectuelle sur le résultat des recherches d'un professeur ordinaire d'une Ecole universitaire dans le cadre de contrats conclus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