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49 vom 1. Januar 2009</w:t>
      </w:r>
    </w:p>
    <w:p>
      <w:r>
        <w:t>Bundesstrafgericht, 2009-01-01, FR</w:t>
      </w:r>
    </w:p>
    <w:p>
      <w:r>
        <w:rPr>
          <w:b/>
        </w:rPr>
        <w:t xml:space="preserve">Quelle: </w:t>
      </w:r>
      <w:r>
        <w:t>https://mcp.opencaselaw.ch/entscheid/bstger_TPF_2009_49</w:t>
      </w:r>
    </w:p>
    <w:p>
      <w:r>
        <w:t>FR: TPF TPF 2009 49 du 1 janvier 2009</w:t>
      </w:r>
    </w:p>
    <w:p>
      <w:r>
        <w:t>IT: TPF TPF 2009 49 del 1 gennaio 2009</w:t>
      </w:r>
    </w:p>
    <w:p>
      <w:pPr>
        <w:pStyle w:val="Heading2"/>
      </w:pPr>
      <w:r>
        <w:t>Regeste</w:t>
      </w:r>
    </w:p>
    <w:p>
      <w:r>
        <w:t>Internationale Rechtshilfe in Strafsachen an Belgien; rechtliches Gehör; Begründungspflicht.</w:t>
      </w:r>
    </w:p>
    <w:p>
      <w:pPr>
        <w:pStyle w:val="Heading2"/>
      </w:pPr>
      <w:r>
        <w:t>Erwägungen</w:t>
      </w:r>
    </w:p>
    <w:p>
      <w:r>
        <w:rPr>
          <w:b/>
        </w:rPr>
        <w:t>E. 4</w:t>
      </w:r>
    </w:p>
    <w:p>
      <w:r>
        <w:t>51</w:t>
      </w:r>
    </w:p>
    <w:p>
      <w:r>
        <w:rPr>
          <w:b/>
        </w:rPr>
        <w:t>E. 4.1</w:t>
      </w:r>
    </w:p>
    <w:p>
      <w:r>
        <w:t>Selon la jurisprudence, après avoir saisi les documents qu'elle juge utiles pour l'exécution de la demande, l'autorité d'exécution a l’obligation de trier les pièces à remettre en vue du prononcé d'une décision de clôture, qui peut être partielle (ATF 130 II 14 consid. 4.4). Elle ne saurait se défausser sur l'Etat requérant et lui remettre toutes les pièces en vrac (ATF 122 II 367 consid. 2c p. 371; 115 Ib 186 consid. 4 p. 192/193). Lorsqu'elle accepte une demande qui lui est présentée à cette fin, l'autorité d'exécution procède au tri en présence du juge étranger et du détenteur des pièces ou de son représentant (ATF 130 II 14 consid. 4.4). La personne touchée par la perquisition et la saisie de documents lui appartenant est tenue, à peine de forclusion, d'indiquer à l'autorité d'exécution quels documents ne devraient pas, selon elle, être transmis et pour quels motifs (ATF 126 II 258 consid. 9b/aa p. 260 8; 122 II 367 consid. 2c p. 371/372). Sous l'angle de la bonne foi, il n'est pas admissible que le détenteur de documents saisis laisse l'autorité d'exécution procéder seule au tri des pièces, sans lui prêter aucun concours, pour lui reprocher après coup la méconnaissance du principe de la proportionnalité. L'autorité d'exécution doit auparavant donner au détenteur l'occasion, concrète et effective, de se déterminer, afin qu'il puisse exercer son droit d'être entendu et satisfaire à son obligation de coopérer à l'exécution de la demande (ATF 126 II 258 consid. 9b/aa p. 262 9). Un accord éventuel permet une remise facilitée au sens de l'art. 80c EIMP. A défaut d'un tel accord, l'autorité d'exécution fait établir un inventaire précis des pièces dont la remise est contestée. Elle impartit au détenteur un délai (qui peut être bref) pour faire valoir, pièce par pièce, les arguments s'opposant selon lui à la transmission. Après quoi, l'autorité d'exécution rend une décision de clôture soigneusement motivée. Que le détenteur néglige de se déterminer ou ne le fasse que d'une manière insatisfaisante ne dispense pas l'autorité d'exécution d'effectuer le tri commandé par le principe de la proportionnalité (ATF 130 II 14 consid. 4.4).</w:t>
      </w:r>
    </w:p>
    <w:p>
      <w:r>
        <w:rPr>
          <w:b/>
        </w:rPr>
        <w:t>E. 4.2</w:t>
      </w:r>
    </w:p>
    <w:p>
      <w:r>
        <w:t>En l’espèce, après la saisie, le 29 février 2008, de 104'402 messages électroniques auprès de la recourante, la BCI a identifié 7'171 éléments pertinents pour l’enquête étrangère, parce qu’ils contenaient un ou plusieurs des 22 mots-clefs fournis par le magistrat instructeur belge. Au sujet de ces documents, le juge d’instruction a donné à la recourante l’occasion de lui indiquer lesquels ne devraient pas, selon elle, être transmis à l’autorité requérante et pour quels motifs. La recourante a donné suite à cette demande en individualisant environ 400 courriels qui selon elle posaient problème, tout en se déclarant d’accord avec la transmission du solde et en invitant le juge d’instruction à procéder avec elle à un examen des pièces litigieuses. Le droit d’être entendue de la recourante n’a en conséquence pas</w:t>
      </w:r>
    </w:p>
    <w:p>
      <w:r>
        <w:t>52 été violé dans le cadre de la procédure de tri aménagée par l’autorité d’exécution.</w:t>
      </w:r>
    </w:p>
    <w:p>
      <w:r>
        <w:rPr>
          <w:b/>
        </w:rPr>
        <w:t>E. 4.3</w:t>
      </w:r>
    </w:p>
    <w:p>
      <w:r>
        <w:t>En ordonnant, le 19 novembre 2008, également la transmission des 400 documents litigieux, le juge d’instruction a implicitement jugé qu’ils étaient pertinents pour l’enquête belge. C’est toutefois en vain que l’on cherchera dans l’ordonnance querellée une quelconque motivation à cet égard. Dans sa réponse du 14 janvier 2009, le juge d’instruction se borne à alléguer que ces 400 documents ont un lien manifeste avec l’enquête belge, sans toutefois en expliquer les raisons et sans se déterminer sur les observations de la recourante. Une telle argumentation ne satisfait pas à l’exigence de motivation soignée au sens de la jurisprudence citée plus haut. Si l’autorité d’exécution ne saurait être tenue de discuter de manière détaillée tous les arguments soulevés par les parties (ATF 112 Ia 107 consid. 2b p. 109; voir aussi ATF 126 I 97 consid. 2b p. 102, 125 II 369 consid. 2c p. 372, 124 II 146 consid. 2a p. 149), elle a cependant, à tout le moins, l’obligation d'indiquer dans son prononcé les motifs qui la conduisent à sa décision (arrêt du Tribunal fédéral 1A.95/2002 du 16 juillet 2002, consid. 3.1; cf. pour la jurisprudence relative à l'art. 4 aCst., ATF 123 I 31 consid 2c p. 34), de manière à ce que la personne touchée soit en mesure d'apprécier la portée du prononcé et de le contester efficacement, s'il y a lieu, devant une instance supérieure (arrêt du Tribunal fédéral 1A.58/2006 du 12 avril 2006, consid. 2.2). En l’occurrence, compte tenu de la nature de l'affaire et des circonstances particulières du cas, l’argumentation fournie par l’autorité d’exécution à l’appui de sa décision de transmettre les quelques 400 documents litigieux est insuffisante.</w:t>
      </w:r>
    </w:p>
    <w:p>
      <w:r>
        <w:rPr>
          <w:b/>
        </w:rPr>
        <w:t>E. 4.4</w:t>
      </w:r>
    </w:p>
    <w:p>
      <w:r>
        <w:t>Lorsqu’une violation du droit d’être entendu est commise par l’autorité d’exécution, la procédure de recours devant la IIe Cour des plaintes en permet en principe la réparation (art. 49 PA, applicable par renvoi de l’art. 30 let. b LTPF; arrêt du Tribunal pénal fédéral RR.2008.94 du 13 octobre 2008, consid. 4.2; arrêt du Tribunal fédéral 1A.228/2006 du 11 décembre 2006, consid. 3.3; ROBERT ZIMMERMANN, La coopération judiciaire internationale en matière pénale, 2e éd., Berne 2004, n° 273-1, p. 320 et les arrêts cités). A teneur de l’art. 61 al. 1 PA, applicable par renvoi de l’art. 30 let. b LTPF, l’autorité de recours peut exceptionnellement renvoyer l’affaire à l’autorité inférieure, avec des instructions impératives. Un tel renvoi se justifie notamment lorsque l’autorité inférieure viole le droit d’être entendu d’une partie en rapport avec la question litigieuse (MADELEINE CAMPRUBI in Kommentar zum Bundesgesetz über das Verwaltungsverfahren, Zurich/ St Gall 2008, n° 11 ad art. 61). Tel a bien été le cas en l’espèce, en rapport avec la transmission des 400 documents</w:t>
      </w:r>
    </w:p>
    <w:p>
      <w:r>
        <w:t>53 environ identifiés dans l’écriture du 10 juin 2008 de la recourante, au sujet de laquelle l’autorité d’exécution n’a pas fourni de motivation dans la décision querellée. Or cette transmission demeurait la seule question litigieuse à ce stade, puisque la recourante a déclaré le 10 juin 2008 ne pas s’opposer à la transmission du solde des courriels sélectionnés par la BCI. En l’espèce, la gravité de la violation du droit d’être entendu commise par l’autorité d’exécution est telle qu’elle ne saurait être réparée par la juridiction de recours. Il se justifie donc de renvoyer l’affaire au juge d’instruction afin que celui-ci rende une nouvelle décision motivée sur la transmission des 400 documents visés dans l’écriture du 10 juin 2008 de la recourante. L’autorité d’exécution devra déterminer dans chaque cas si un document concerné se rapporte au paiement de commissions en rapport avec des contrats impliquant des entités publiques belges, ou est susceptible de faire progresser l’enquête belge d’une quelconque manière. Le cas échéant, elle pourra s’appuyer sur le magistrat chargé de la poursuite dans l’Etat requérant (cf. art. 65a EIMP) lequel, compte tenu de sa connaissance du dossier, peut représenter pour elle une aide précieuse (ATF 130 II 14 consid. 4.4).</w:t>
      </w:r>
    </w:p>
    <w:p>
      <w:r>
        <w:t>TPF 2009 53</w:t>
      </w:r>
    </w:p>
    <w:p>
      <w:r>
        <w:t>14. Auszug aus dem Entscheid der II. Beschwerdekammer in Sachen A. gegen Bundesamt für Justiz, Fachbereich Auslieferung, vom 24. März 2009 (RR.2008.309)</w:t>
      </w:r>
    </w:p>
    <w:p>
      <w:r>
        <w:t>Überstellung an Deutschland.</w:t>
      </w:r>
    </w:p>
    <w:p>
      <w:r>
        <w:t>Art. 21 Abs. 4 IRSG, Art. 3, 9 und 10 Überstellungsübereinkommen, Art. 2 und 3 Zusatzprotokoll</w:t>
      </w:r>
    </w:p>
    <w:p>
      <w:r>
        <w:t>Beschwerden gegen Überstellungsentscheide kommen aufschiebende Wirkung zu (E. 2.3.2). Überstellungen verfolgen hauptsächlich humanitäre Zwecke und sollen die Wiedereingliederung verurteilter Personen in die Gesellschaft fördern. Der Zustimmung der betroffenen Person kommt daher besondere Bedeutung zu. Ohne Einverständnis kann eine verurteilte Person unter Umständen überstellt werden, wenn sie den Urteilsstaat nach der Verbüssung der Sanktion ohnehin verlassen muss (E. 3). Integrationsmassnahmen in das schweizerische Umfeld sind in diesem Fall nicht zweckmässig. Nach der Überstellung setzt jeder Staat den Vollzug der Sanktion nach seinem Recht fort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