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186 vom 7. Juli 1997</w:t>
      </w:r>
    </w:p>
    <w:p>
      <w:r>
        <w:t>Bundesstrafgericht, 1997-07-07, FR</w:t>
      </w:r>
    </w:p>
    <w:p>
      <w:r>
        <w:rPr>
          <w:b/>
        </w:rPr>
        <w:t xml:space="preserve">Quelle: </w:t>
      </w:r>
      <w:r>
        <w:t>https://mcp.opencaselaw.ch/entscheid/bstger_TPF_2009_186</w:t>
      </w:r>
    </w:p>
    <w:p>
      <w:r>
        <w:t>FR: TPF TPF 2009 186 du 7 juillet 1997</w:t>
      </w:r>
    </w:p>
    <w:p>
      <w:r>
        <w:t>IT: TPF TPF 2009 186 del 7 luglio 1997</w:t>
      </w:r>
    </w:p>
    <w:p>
      <w:pPr>
        <w:pStyle w:val="Heading2"/>
      </w:pPr>
      <w:r>
        <w:t>Regeste</w:t>
      </w:r>
    </w:p>
    <w:p>
      <w:r>
        <w:t>Überwachung des Fernmeldeverkehrs; Verlängerung der Überwachung.</w:t>
      </w:r>
    </w:p>
    <w:p>
      <w:pPr>
        <w:pStyle w:val="Heading2"/>
      </w:pPr>
      <w:r>
        <w:t>Erwägungen</w:t>
      </w:r>
    </w:p>
    <w:p>
      <w:r>
        <w:rPr>
          <w:b/>
        </w:rPr>
        <w:t>E. 1</w:t>
      </w:r>
    </w:p>
    <w:p>
      <w:r>
        <w:t>Force est de constater que les éléments fournis par le MPC donnent une vision très détaillée et claire de l’état actuel de l’enquête et des éléments nouveaux recueillis à ce jour dans ce cadre. L’on relèvera en particulier que le rapport de la Police judiciaire fédérale (PJF) du 7 décembre 2009 intitulé «Etat de situation au 9 décembre 2009 - Demande de mesures techniques», ainsi que son complément du 10 décembre 2009 («Rapport</w:t>
      </w:r>
    </w:p>
    <w:p>
      <w:r>
        <w:t>188 complémentaire») permettent à l’autorité de céans de se faire une représentation très claire et précise de l’ensemble des tenants et aboutissants actuels de l’opération X.</w:t>
      </w:r>
    </w:p>
    <w:p>
      <w:r>
        <w:t>Il ressort dudit rapport et de son complément que les soupçons graves pesant sur les personnes sous enquête fédérale depuis le 7 avril 2009 se sont renforcés au cours de ces derniers mois. Les éléments fournis par l’autorité de poursuite permettent de conclure à l’existence de soupçons graves à l’encontre des personnages actuellement sous enquête d’appartenance, respectivement de soutien à une organisation criminelle d’envergure internationale, parfaitement structurée, qui garde ses effectifs secrets et perdure dans le temps. L’objectif final de l’enquête est de viser l’organisation criminelle dans son ensemble, ses structures, son fonctionnement, son financement et ses codes de conduite, dans le but de la démanteler durablement, au-delà des frontières nationales.</w:t>
      </w:r>
    </w:p>
    <w:p>
      <w:r>
        <w:rPr>
          <w:b/>
        </w:rPr>
        <w:t>E. 2</w:t>
      </w:r>
    </w:p>
    <w:p>
      <w:r>
        <w:t>Si les soupçons graves à l’encontre des personnes actuellement sous enquête se sont renforcés au cours des derniers mois, l’autorité de céans doit encore s’interroger sur le respect du principe de la proportionnalité, lequel - faut-il le rappeler - est un principe cardinal en matière de surveillance des télécommunications.</w:t>
      </w:r>
    </w:p>
    <w:p>
      <w:r>
        <w:t>Il convient de constater à cet égard que l’enquête actuellement menée sous l’autorité du MPC a été ouverte le 7 avril 2009, étant précisé que les autorités de plusieurs cantons mènent également leurs propres investigations, et ce parfois depuis une date antérieure. Depuis avril 2009, un nombre important de mesures de surveillance a été déployé. Lesdites mesures ont permis de mettre à la charge des personnes sous enquête un nombre très important de méfaits, parfois même de les suivre «en direct». C’est dire qu’en l’espèce, l’on peut s’interroger sur l’opportunité de la prolongation des mesures de surveillance requises et, partant, sur leur légalité au regard du principe de la proportionnalité, dès lors qu’un nombre conséquent d’éléments concrets sont à disposition de l’autorité de poursuite à ce stade déjà.</w:t>
      </w:r>
    </w:p>
    <w:p>
      <w:r>
        <w:t>Force est de constater que, au fur et à mesure de son avancement, la présente enquête se révèle être à dimension internationale. Si les éléments fournis jusqu’ici montraient déjà les liens avec certains pays étrangers, dont le pays A., il ressort du rapport de la PJF du 7 décembre 2009 et de son complément du 10 décembre 2009, que la coopération internationale entre autorités de poursuite apparaît désormais comme l’un des enjeux décisifs de</w:t>
      </w:r>
    </w:p>
    <w:p>
      <w:r>
        <w:t>189 cette affaire. En effet, le but des enquêteurs est de coordonner leurs actions au niveau de plusieurs pays, parmi lesquels les pays B., C., A. et la Suisse. Pareil mode de faire devrait permettre de frapper l’organisation criminelle dans son ensemble, étant précisé qu’une action trop ciblée, à savoir l’arrestation de quelques individus dans le cadre d’un flagrant délit, ne permettrait pas d’ébranler l’organisation. Il apparaît dès lors qu’une arrestation prématurée mettrait à mal la plupart des efforts déployés à ce jour tant par les autorités de police que de justice en Suisse et à l’étranger.</w:t>
      </w:r>
    </w:p>
    <w:p>
      <w:r>
        <w:t>L’importance de l’enquête et de ses ramifications au niveau international apparaît ainsi comme le facteur déterminant permettant de conclure que la prolongation des mesures requises ne viole, à ce stade, pas le principe de la proportionnalité. Les résultats de la rencontre prochaine entre autorités de poursuite de plusieurs pays revêtent dès lors une grande importance pour la suite des opérations. En effet, si la coopération internationale devait ne pas permettre d’aboutir à des résultats concrets à proche échéance, la question de la proportionnalité des mesures de surveillance en cours se reposera avec d’autant plus de force et pourra conduire l’autorité de céans à revoir son jugement lors de toute nouvelle demande ultérieure d’autorisation, respectivement de prolongation.</w:t>
      </w:r>
    </w:p>
    <w:p>
      <w:r>
        <w:t>TPF 2009 189</w:t>
      </w:r>
    </w:p>
    <w:p>
      <w:r>
        <w:t>44. Auszug aus dem Entscheid der I. Beschwerdekammer in Sachen Kanton Solothurn gegen Kanton Genf und Kanton Bern vom 14. Dezember 2009 (BG.2009.22)</w:t>
      </w:r>
    </w:p>
    <w:p>
      <w:r>
        <w:t>Örtliche Zuständigkeit; triftige Gründe für ein Abweichen vom gesetzlichen Gerichtsstand, insbesondere Schwergewicht der deliktischen Tätigkeit in einer Sprachregion.</w:t>
      </w:r>
    </w:p>
    <w:p>
      <w:r>
        <w:t>Art. 344 StGB, Art. 263 Abs. 3 BStP</w:t>
      </w:r>
    </w:p>
    <w:p>
      <w:r>
        <w:t>Für das Abweichen vom gesetzlichen Gerichtsstand muss eine deutlich überwiegende Mehrheit der Delikte in der gleichen Sprachregion verübt worden sein. Gerade bei kleinen Deliktsserien ist nicht leichthin von einer überwiegenden Mehrheit auszugehen, wenn auf eine Sprachregion wenige Delikte mehr entfallen.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