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169 vom 20. Oktober 2009</w:t>
      </w:r>
    </w:p>
    <w:p>
      <w:r>
        <w:t>Bundesstrafgericht, 2009-10-20, DE</w:t>
      </w:r>
    </w:p>
    <w:p>
      <w:r>
        <w:rPr>
          <w:b/>
        </w:rPr>
        <w:t xml:space="preserve">Quelle: </w:t>
      </w:r>
      <w:r>
        <w:t>https://mcp.opencaselaw.ch/entscheid/bstger_TPF_2009_169</w:t>
      </w:r>
    </w:p>
    <w:p>
      <w:r>
        <w:t>FR: TPF TPF 2009 169 du 20 octobre 2009</w:t>
      </w:r>
    </w:p>
    <w:p>
      <w:r>
        <w:t>IT: TPF TPF 2009 169 del 20 ottobre 2009</w:t>
      </w:r>
    </w:p>
    <w:p>
      <w:pPr>
        <w:pStyle w:val="Heading2"/>
      </w:pPr>
      <w:r>
        <w:t>Regeste</w:t>
      </w:r>
    </w:p>
    <w:p>
      <w:r>
        <w:t>Örtliche Zuständigkeit; forum praeventionis.</w:t>
      </w:r>
    </w:p>
    <w:p>
      <w:pPr>
        <w:pStyle w:val="Heading2"/>
      </w:pPr>
      <w:r>
        <w:t>Volltext</w:t>
      </w:r>
    </w:p>
    <w:p>
      <w:r>
        <w:t>169 notamment ATF 124 II 132 consid. 2d p. 138 s.), étant rappelé que A. a pu faire valoir ses arguments tant devant la première autorité que devant la Ire Cour des plaintes, cette dernière disposant par ailleurs d’un plein pouvoir de cognition en fait et en droit dans le cas d’espèce.</w:t>
      </w:r>
    </w:p>
    <w:p>
      <w:r>
        <w:t>TPF 2009 169</w:t>
      </w:r>
    </w:p>
    <w:p>
      <w:r>
        <w:t>38. Auszug aus dem Entscheid der I. Beschwerdekammer in Sachen Kanton Zürich gegen Kanton Zug vom 20. Oktober 2009 (BG.2009.24)</w:t>
      </w:r>
    </w:p>
    <w:p>
      <w:r>
        <w:t>Örtliche Zuständigkeit; forum praeventionis.</w:t>
      </w:r>
    </w:p>
    <w:p>
      <w:r>
        <w:t>Art. 344 Abs. 1 StGB</w:t>
      </w:r>
    </w:p>
    <w:p>
      <w:r>
        <w:t>Damit eine Untersuchung im Sinne von Art. 344 Abs. 1 Satz 2 StGB angehoben ist, bedarf es eines menschlichen Tätigwerdens. Mit der blossen Erfassung einer Verkehrsregelverletzung durch ein elektronisches Verkehrsüberwachungsgerät wird noch keine Untersuchung angehoben (E. 2.1–2.4).</w:t>
      </w:r>
    </w:p>
    <w:p>
      <w:r>
        <w:t>Compétence territoriale; forum praeventionis.</w:t>
      </w:r>
    </w:p>
    <w:p>
      <w:r>
        <w:t>Art. 344 al. 1 CP</w:t>
      </w:r>
    </w:p>
    <w:p>
      <w:r>
        <w:t>Pour qu'il y ait ouverture d'une instruction au sens de l'art. 344 al. 1, deuxième phrase CP, il faut qu'il y ait eu une action humaine. Le simple enregistrement d'une violation des règles de la circulation par un appareil électronique de surveillance de la circulation routière ne constitue pas encore une ouverture d'instruction (consid. 2.1–2.4).</w:t>
      </w:r>
    </w:p>
    <w:p>
      <w:r>
        <w:t>Competenza ratione loci; forum praeventionis.</w:t>
      </w:r>
    </w:p>
    <w:p>
      <w:r>
        <w:t>Art. 344 cpv. 1 CP</w:t>
      </w:r>
    </w:p>
    <w:p>
      <w:r>
        <w:t>Per compiere il primo atto d’istruzione ai sensi dell’art. 344 cpv. 1 frase 2 CP è necessaria un’azione umana. Se un apparecchio di controllo del traffico rileva un’infrazione alle norme della circolazione non si procede ancora ad un atto d’istruzione (consid. 2.1–2.4).</w:t>
      </w:r>
    </w:p>
    <w:p>
      <w:r>
        <w:t>170 Zusammenfassung des Sachverhalts:</w:t>
      </w:r>
    </w:p>
    <w:p>
      <w:r>
        <w:t>Die Strafverfolgungsbehörden der Kantone Zürich und Zug haben gegen A. je eine Strafuntersuchung wegen des Verdachts verschiedener Widerhandlungen gegen das Strassenverkehrsgesetz vom 19. Dezember 1958 (SVG; SR 741.01) eröffnet. A. wird dabei einerseits vorgeworfen, am 25. Mai 2009 einen Lieferwagen mit luzernischem Kontrollschild gelenkt und dabei um 11.43 Uhr in Z. (Kanton Zug) innerorts durch übersetzte Geschwindigkeit eine grobe Verletzung der Verkehrsregeln gemäss Art. 90 Ziff. 2 SVG begangen zu haben. Er sei hierbei zur fraglichen Zeit durch ein dortiges automatisches Verkehrsüberwachungsgerät erfasst worden. Nach Auswertung der Aufnahmen des automatischen Verkehrsüberwachungsgerätes ersuchte die Zuger Polizei am 4. Juni 2009 die Kantonspolizei Luzern um Ermittlung des verantwortlichen Fahrzeuglenkers. In der Folge wurde A. durch die Zuger Polizei entsprechend angezeigt. Weiter wird A. vorgeworfen, ebenfalls am 25. Mai 2009 um ca. 13.05 Uhr in Y. (Kanton Zürich) mit demselben Fahrzeug aufgrund eines Sekundenschlafes einen Selbstunfall mit Drittschaden verursacht und sich damit des Fahrens in fahrunfähigem Zustand gemäss Art. 91 Abs. 2 SVG schuldig gemacht zu haben. Noch am selben Tag wurde A. durch die Kantonspolizei Zürich zu diesem Verkehrsunfall befragt und in der Folge zur Anzeige gebracht. Nach erfolglosem Meinungsaustausch betreffend die örtliche Zuständigkeit gelangte die Oberstaatsanwaltschaft des Kantons Zürich an die I. Beschwerdekammer und ersuchte diese um Bestimmung der Zuständigkeit.</w:t>
      </w:r>
    </w:p>
    <w:p>
      <w:r>
        <w:t>Die I. Beschwerdekammer erklärte die Strafverfolgungsbehörden des Kantons Zürich für berechtigt und verpflichtet, alle A. zur Last gelegten Straftaten zu verfolgen und zu beurteilen.</w:t>
      </w:r>
    </w:p>
    <w:p>
      <w:r>
        <w:t>Aus den Erwägungen:</w:t>
      </w:r>
    </w:p>
    <w:p>
      <w:r>
        <w:t>2. 2.1 Wird jemand wegen mehrerer, an verschiedenen Orten begangener strafbarer Handlungen verfolgt, so sind die Behörden des Ortes, wo die mit der schwersten Strafe bedrohte Tat begangen worden ist, auch für die Verfolgung und Beurteilung der anderen Taten zuständig. Sind diese strafbaren Handlungen mit der gleichen Strafe bedroht, so sind die Behörden des Ortes zuständig, wo die Untersuchung zuerst angehoben wird (Art. 344 Abs. 1 StGB).</w:t>
      </w:r>
    </w:p>
    <w:p>
      <w:r>
        <w:t>171</w:t>
      </w:r>
    </w:p>
    <w:p>
      <w:r>
        <w:t>Zwischen den Parteien umstritten ist im vorliegenden Fall lediglich die Frage, in welchem Kanton die Untersuchung zuerst angehoben wurde bzw. – konkreter – ob das automatische Erfassen einer Verletzung von Verkehrsregeln bereits ausreicht, um von einer Anhebung der Untersuchung im Sinne von Art. 344 Abs. 1 Satz 2 StGB zu sprechen.</w:t>
      </w:r>
    </w:p>
    <w:p>
      <w:r>
        <w:t>2.2 Allgemein gilt eine Untersuchung dann als angehoben und ein Täter dann als verfolgt, wenn eine Straf-, Untersuchungs- oder Polizeibehörde durch die Vornahme von Erhebungen oder in anderer Weise zu erkennen gegeben hat, dass sie jemanden (einen bekannten oder noch unbekannten Täter) einer strafbaren Handlung verdächtigt, oder wenn eine solche Handlung wenigstens zum Gegenstand einer Strafanzeige oder (bei Antragsdelikten) eines Strafantrages gemacht worden ist (BGE 86 IV 128 E. 1b S. 130; 75 IV 139 S. 140 f.; SCHWERI/BÄNZIGER, Interkantonale Gerichtsstandsbestimmung in Strafsachen, 2. Aufl., Bern 2004, N. 141 m.w.H.; GUIDON/ BÄNZIGER, Die aktuelle Rechtsprechung des Bundesstrafgerichts zum interkantonalen Gerichtsstand in Strafsachen, Jusletter 21. Mai 2007, [Rz 32] m.w.H.; NAY/THOMMEN, Basler Kommentar, 2. Aufl., Art. 340 StGB N. 15 m.w.H.; TRECHSEL/LIEBER, Praxiskommentar, Zürich/St. Gallen 2008, Art. 344 StGB N. 2; HAUSER/SCHWERI/HARTMANN, Schweizerisches Strafprozessrecht, 6. Aufl., Basel 2005, S. 124 N. 9 in fine). Die Untersuchung ist nicht angehoben, solange einem Täter eine Strafverfolgung bloss droht oder in Aussicht steht und die zuständigen Amtsstellen gegen ihn noch nichts unternommen haben (SCHWERI/BÄNZIGER, a.a.O., N. 152). Die zeitlich erste Untersuchungshandlung muss sich anhand der Akten nachweisen lassen (SCHWERI/BÄNZIGER, a.a.O., N. 153).</w:t>
      </w:r>
    </w:p>
    <w:p>
      <w:r>
        <w:t>Zur Auslegung des Begriffs der „Anhebung der Untersuchung“ kann vorliegend auch Art. 34 Abs. 1 Satz 2 der noch nicht in Kraft getretenen schweizerischen Strafprozessordnung vom 5. Oktober 2007 herbei gezogen werden, welcher lautet: „Bei gleicher Strafdrohung sind die Behörden des Ortes zuständig, an dem zuerst Verfolgungshandlungen vorgenommen worden sind.“ Diese Bestimmung soll inhaltlich, bloss sprachlich überarbeitet, an die bisherige Regelung im Strafgesetzbuch anknüpfen (Botschaft vom 21. Dezember 2005 zur Vereinheitlichung des Strafprozessrechts, BBl 2006 S. 1142; BÄNZIGER, in: Goldschmid/Maurer/Sollberger [Hrsg.], Kommentierte Textausgabe zur schweizerischen Strafprozessordnung, Bern 2008, S. 30).</w:t>
      </w:r>
    </w:p>
    <w:p>
      <w:r>
        <w:t>172 2.3 Anhand der angeführten Literatur und den dort enthaltenen Hinweisen auf die Rechtsprechung bedarf es für die Anhebung der Untersuchung einer Handlung durch die zuständige Behörde bzw. durch deren Vertreter. Implizit gefordert ist damit ein menschliches Tätigwerden (vgl. die Begriffsbedeutung von „handeln“ als „etwas tun“, „vorgehen“, „verfahren“, „einen Entschluss ausführen“, in: WAHRIG, Deutsches Wörterbuch, 7. Aufl., Gütersloh/München 2006, S. 598). Diese Auffassung wird weiter gestützt durch die italienische Fassung des Art. 344 Abs. 1 Satz 2 StGB, welche klarerweise ebenfalls von einem menschlichen Tun auszugehen scheint („…, sono competenti le autorità in cui fu compiuto il primo atto d’istruzione“). Mit der mittels automatischen Verkehrsüberwachungsgeräts erfolgten Messung liegt demnach noch keine Ermittlungshandlung vor. Als solche kann nur eine gestützt auf die Auswertung des Verkehrsüberwachungsgerätes erfolgte Handlung gelten, mit welcher die Strafverfolgungsbehörde zu erkennen gibt, dass sie jemanden einer strafbaren Handlung verdächtigt. Vorliegend gab die Zuger Polizei erst nach Auswertung des Verkehrsüberwachungsgerätes durch ihr Rechtshilfegesuch an die Kantonspolizei Luzern vom 4. Juni 2009 zur Ermittlung des verantwortlichen Fahrzeuglenkers zu erkennen, dass sie gegenüber einem zu jenem Zeitpunkt noch unbekannten Täter den Verdacht hinsichtlich der fraglichen Verkehrsregelverletzung hegt. Solange die Verkehrsregelverletzung bloss durch ein automatisches Verkehrsüberwachungsgerät festgehalten wird, droht dem Täter lediglich die Strafverfolgung. Solange die zuständigen Behörden gestützt darauf keine weiteren Schritte unternehmen, kann nicht von einer Anhebung der Untersuchung im Sinne von Art. 344 Abs. 1 Satz 2 StGB (sog. forum praeventionis) gesprochen werden.</w:t>
      </w:r>
    </w:p>
    <w:p>
      <w:r>
        <w:t>Der vom Gesuchsteller erwähnte Fall, in welchem ein Polizist mit einer Radarpistole auf das zu schnell fahrende Fahrzeug zielt und der Lenker alsdann einige Meter später von der Polizei angehalten wird, kann vorliegend nicht zur Herleitung einer Analogie herangezogen werden. Auch in diesem Fall nimmt die Polizei erst eine Verfolgungshandlung vor, nachdem sie von der Verkehrsregelverletzung Kenntnis genommen hat und gestützt auf diese Erkenntnis zur Anhaltung des Lenkers schreitet.</w:t>
      </w:r>
    </w:p>
    <w:p>
      <w:r>
        <w:t>2.4 Nach dem Gesagten wurde vorliegend die Untersuchung gegen A. zuerst mit dessen Einvernahme vom 25. Mai 2009 durch die Kantonspolizei Zürich zum Verkehrsunfall in Y. vom selben Tag angehoben.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