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122 vom 23. Juli 2009</w:t>
      </w:r>
    </w:p>
    <w:p>
      <w:r>
        <w:t>Bundesstrafgericht, 2009-07-23, FR</w:t>
      </w:r>
    </w:p>
    <w:p>
      <w:r>
        <w:rPr>
          <w:b/>
        </w:rPr>
        <w:t xml:space="preserve">Quelle: </w:t>
      </w:r>
      <w:r>
        <w:t>https://mcp.opencaselaw.ch/entscheid/bstger_TPF_2009_122</w:t>
      </w:r>
    </w:p>
    <w:p>
      <w:r>
        <w:t>FR: TPF TPF 2009 122 du 23 juillet 2009</w:t>
      </w:r>
    </w:p>
    <w:p>
      <w:r>
        <w:t>IT: TPF TPF 2009 122 del 23 luglio 2009</w:t>
      </w:r>
    </w:p>
    <w:p>
      <w:pPr>
        <w:pStyle w:val="Heading2"/>
      </w:pPr>
      <w:r>
        <w:t>Regeste</w:t>
      </w:r>
    </w:p>
    <w:p>
      <w:r>
        <w:t>Akteneinsichtsrecht. Beweisanträge. Ausdehnung der Voruntersuchung.</w:t>
      </w:r>
    </w:p>
    <w:p>
      <w:pPr>
        <w:pStyle w:val="Heading2"/>
      </w:pPr>
      <w:r>
        <w:t>Erwägungen</w:t>
      </w:r>
    </w:p>
    <w:p>
      <w:r>
        <w:rPr>
          <w:b/>
        </w:rPr>
        <w:t>E. 4.2</w:t>
      </w:r>
    </w:p>
    <w:p>
      <w:r>
        <w:t>Aux termes de l’art. 111 PPF, le juge d’instruction peut, d’office ou sur réquisition du procureur général, étendre l’instruction préparatoire à d’autres faits et à d’autres personnes. Il ressort clairement de la loi que le plaignant n’est pas légitimé à exiger du juge d’instruction qu’il procède à l’extension de l’enquête initiale, cette compétence étant seule reconnue au procureur général (arrêt du Tribunal pénal fédéral BB.2006.75 du 30 janvier 2007, consid. 1.4). Le défaut de légitimation du plaignant entraîne l’irrecevabilité de la plainte sur ce point.</w:t>
      </w:r>
    </w:p>
    <w:p>
      <w:r>
        <w:t>TPF 2009 125</w:t>
      </w:r>
    </w:p>
    <w:p>
      <w:r>
        <w:t>29. Estratto della sentenza della I Corte dei reclami penali nella causa Banca A., B. e C. contro Ministero pubblico della Confederazione del 5 agosto 2009 (BB.2009.51, BB.2009.53, BB.2009.54, BP.2009.30, BP.2009.31, BP.2009.32)</w:t>
      </w:r>
    </w:p>
    <w:p>
      <w:r>
        <w:t>Disgiunzione della procedura ed effetto sospensivo; principio dell’indivisibilità del procedimento penale; principio della celerità; proporzionalità.</w:t>
      </w:r>
    </w:p>
    <w:p>
      <w:r>
        <w:t>Art. 214 cpv. 1, 218 PP</w:t>
      </w:r>
    </w:p>
    <w:p>
      <w:r>
        <w:t>Stante la stretta connessione sotto il profilo dei fatti e la non dissimile posizione processuale dei singoli imputati (una ventina in tutto), la disgiunzione della procedura nei confronti di tre di essi decretata dal Ministero pubblico della Confederazione non risulta – in concreto – giustificata (consid. 3.1 e 3.2).</w:t>
      </w:r>
    </w:p>
    <w:p>
      <w:r>
        <w:t>Esame dei principi della celerità e della proporzionalità (consid. 3.3 e 3.4).</w:t>
      </w:r>
    </w:p>
    <w:p>
      <w:r>
        <w:t>Trennung von Verfahren und aufschiebende Wirkung; Grundsatz der Einheit des Strafverfahrens; Beschleunigungsgebot; Verhältnismässigkeit.</w:t>
      </w:r>
    </w:p>
    <w:p>
      <w:r>
        <w:t>Art. 214 Abs. 1, 218 BStP</w:t>
      </w:r>
    </w:p>
    <w:p>
      <w:r>
        <w:t>Angesichts des engen Tatsachenzusammenhanges und der nicht unähnlichen Verfahrensstellung der einzelnen Beschuldigten (gesamthaft 20 Personen) erweist sich die Trennung der Verfahren bezüglich drei der Beschuldigten durch die Bundesanwaltschaft im konkreten Fall als ungerechtfertigt (E. 3.1 und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