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56 vom 22. April 2008</w:t>
      </w:r>
    </w:p>
    <w:p>
      <w:r>
        <w:t>Bundesstrafgericht, 2008-04-22, DE</w:t>
      </w:r>
    </w:p>
    <w:p>
      <w:r>
        <w:rPr>
          <w:b/>
        </w:rPr>
        <w:t xml:space="preserve">Quelle: </w:t>
      </w:r>
      <w:r>
        <w:t>https://mcp.opencaselaw.ch/entscheid/bstger_TPF_2008_56</w:t>
      </w:r>
    </w:p>
    <w:p>
      <w:r>
        <w:t>FR: TPF TPF 2008 56 du 22 avril 2008</w:t>
      </w:r>
    </w:p>
    <w:p>
      <w:r>
        <w:t>IT: TPF TPF 2008 56 del 22 aprile 2008</w:t>
      </w:r>
    </w:p>
    <w:p>
      <w:pPr>
        <w:pStyle w:val="Heading2"/>
      </w:pPr>
      <w:r>
        <w:t>Regeste</w:t>
      </w:r>
    </w:p>
    <w:p>
      <w:r>
        <w:t>Auslieferung an Kroatien; Auslieferungshaft; Verhältnismässigkeit.</w:t>
      </w:r>
    </w:p>
    <w:p>
      <w:pPr>
        <w:pStyle w:val="Heading2"/>
      </w:pPr>
      <w:r>
        <w:t>Volltext</w:t>
      </w:r>
    </w:p>
    <w:p>
      <w:r>
        <w:t>TPF 2008 56</w:t>
      </w:r>
    </w:p>
    <w:p>
      <w:r>
        <w:t>56 suffisamment précise des faits de la cause pour laquelle un mandat d’arrêt international a été décerné à l’endroit de A., nombre d’informations perti- nentes (dates, faits, lieux, noms de victimes, de participants, personnes physiques ou morales, modus operandi) lui ayant été dévoilées dans le cadre des échanges d’écritures.</w:t>
      </w:r>
    </w:p>
    <w:p>
      <w:r>
        <w:t>TPF 2008 56</w:t>
      </w:r>
    </w:p>
    <w:p>
      <w:r>
        <w:t>14. Auszug aus dem Entscheid der II. Beschwerdekammer in Sachen A. gegen Bundesamt für Justiz vom 22. April 2008 (RR.2008.46)</w:t>
      </w:r>
    </w:p>
    <w:p>
      <w:r>
        <w:t>Auslieferung an Kroatien; Auslieferungshaft; Verhältnismässigkeit.</w:t>
      </w:r>
    </w:p>
    <w:p>
      <w:r>
        <w:t>Art. 50 Abs. 3 IRSG</w:t>
      </w:r>
    </w:p>
    <w:p>
      <w:r>
        <w:t>Die Auslieferungshaft ist unverhältnismässig, wenn sie die im ersuchenden Staat zu erwartende Freiheitsstrafe übersteigt. Der Rechtshilferichter muss bei der Beantwortung dieser Frage besondere Vorsicht walten lassen (E. 3.3). Be- fand sich der Verfolgte gestützt auf den gleichen Sachverhalt bzw. auf das gleiche verurteilende Erkenntnis bereits in anderen Staaten in Auslieferungs- haft, so ist die in diesen Staaten erfolgte Haft, selbst wenn dem Auslieferungser- suchen in der Folge nicht stattgegeben wurde, bei der Prüfung der Verhältnis- mässigkeit der schweizerischen Auslieferungshaft mitzuberücksichtigen (E. 3.4). In casu erwies sich die Aufrechterhaltung der Auslieferungshaft als unverhältnismässig (E. 3.5 und 3.6).</w:t>
      </w:r>
    </w:p>
    <w:p>
      <w:r>
        <w:t>Extradition vers la Croatie; détention extraditionnelle; proportionnalité.</w:t>
      </w:r>
    </w:p>
    <w:p>
      <w:r>
        <w:t>Art. 50 al. 3 EIMP</w:t>
      </w:r>
    </w:p>
    <w:p>
      <w:r>
        <w:t>La détention en vue d'extradition est disproportionnée lorsqu'elle dépasse la peine privative de liberté à laquelle la personne détenue devra s'attendre dans l'état requérant. Lors de l'examen de cette question, le juge de l’entraide devra faire preuve d'une prudence particulière (consid. 3.3). Si, en raison des mêmes faits, respectivement en raison des mêmes éléments constitutifs, la personne poursuivie a déjà été placée en détention extraditionnelle dans d'autres Etats, cette détention devra être prise en compte lors de l'examen de la proportionna- lité de la détention extraditionnelle suisse même si dans les autres pays la re- quête d'extradition a été refusée (consid. 3.4). En l'espèce, le maintien de la détention extraditionnelle s'est avérée disproportionnée (consid. 3.5 et 3.6).</w:t>
      </w:r>
    </w:p>
    <w:p>
      <w:r>
        <w:t>TPF 2008 56</w:t>
      </w:r>
    </w:p>
    <w:p>
      <w:r>
        <w:t>57 Estradizione alla Croazia; carcerazione in vista d’estradizione; proporzionalità.</w:t>
      </w:r>
    </w:p>
    <w:p>
      <w:r>
        <w:t>Art. 50 cpv. 3 AIMP</w:t>
      </w:r>
    </w:p>
    <w:p>
      <w:r>
        <w:t>La carcerazione in vista d’estradizione è sproporzionata se supera la pena detentiva che ci si deve aspettare nello Stato richiedente. Nel valutare questa questione, il giudice dell’assistenza deve dar prova di particolare prudenza (consid. 3.3). Se la persona perseguita si era già trovata in stato di carcerazione in vista d’estradizione in altri Stati a causa della stessa fattispecie, rispettiva- mente della stessa sentenza di condanna, la carcerazione avvenuta in tali Stati, anche quando alla relativa domanda di estradizione non è stato dato seguito, deve essere comunque tenuta in considerazione nell’esame della proporzionali- tà della carcerazione svizzera in vista d’estradizione (consid. 3.4). Nel caso in questione il mantenimento della carcerazione si è rivelato sproporzionato (con- sid. 3.5 e 3.6).</w:t>
      </w:r>
    </w:p>
    <w:p>
      <w:r>
        <w:t>Zusammenfassung des Sachverhalts:</w:t>
      </w:r>
    </w:p>
    <w:p>
      <w:r>
        <w:t>A. wurde mit Entscheid vom 25. November 2003 in Kroatien im Kontuma- zialverfahren wegen mehrfachen Diebstahls zu 1 Jahr und 8 Monaten Ge- fängnis verurteilt. Gestützt auf ein kroatisches Fahndungsersuchen hat das Bundesamt für Justiz (nachfolgend "Bundesamt") am 21. März 2007 die provisorische Auslieferungshaft von A. angeordnet. Am 30. März 2007 wurde die Versetzung von A. in Auslieferungshaft verfügt. Die Beschwerde von A. gegen den Auslieferungshaftbefehl wurde von der II. Beschwerde- kammer des Bundesstrafgerichts abgewiesen.</w:t>
      </w:r>
    </w:p>
    <w:p>
      <w:r>
        <w:t>Die Auslieferung von A. für die dem kroatischen Auslieferungsersuchen zugrunde liegenden Straftaten wurde vom Bundesamt am 20. Juni 2007 bewilligt, unter Vorbehalt des Entscheids des Bundesstrafgerichts über die Einsprache des politischen Delikts bzw. der politischen Verfolgung sowie unter Vorbehalt eines rechtskräftigen, ablehnenden Asylentscheids. Mit Entscheid vom 4. Oktober 2007 hat die II. Beschwerdekammer die Einrede des politischen Delikts abgewiesen und die Beschwerde insofern teilweise gutgeheissen, als der Vollzug der Auslieferung von der Bedingung abhängig gemacht wurde, dass das kroatische Justizministerium eine förmliche Zusi- cherung abgibt, wonach A. das Recht zugesichert wird, ein neues Gerichts- verfahren zu verlangen, worin die durch EMRK und UNO-Pakt II garantier- ten Rechte gewährleistet werden. Das kroatische Justizministerium hat am 25. Oktober 2007 eine entsprechende Garantieerklärung eingereicht.</w:t>
      </w:r>
    </w:p>
    <w:p>
      <w:r>
        <w:t>TPF 2008 56</w:t>
      </w:r>
    </w:p>
    <w:p>
      <w:r>
        <w:t>58 Das Bundesamt für Migration (nachfolgend "BFM") ist am 12. Juli 2007 auf das Asylgesuch von A. vom 11. bzw. 18. Mai 2007 nicht eingetreten. Die von A. gegen den Nichteintretensentscheid erhobene Beschwerde wur- de vom Bundesverwaltungsgericht mit Entscheid vom 20. September 2007 gutgeheissen und die Angelegenheit zur Weiterführung des Verfahrens und materiellen Behandlung an das BFM zurückgewiesen. Mit Entscheid vom 23. November 2007 hat das BFM das Asylgesuch von A. abgewiesen und dessen Wegweisung aus der Schweiz verfügt. Gegen diesen Entscheid ge- langte A. erneut ans Bundesverwaltungsgericht.</w:t>
      </w:r>
    </w:p>
    <w:p>
      <w:r>
        <w:t>A. hat am 14. Februar 2008 ein Gesuch um Entlassung aus der Ausliefe- rungshaft gestellt. Gegen die Abweisung des Haftentlassungsgesuchs durch das Bundesamt gelangt A. mit Beschwerde vom 10. März 2008 an die II. Beschwerdekammer des Bundesstrafgerichts.</w:t>
      </w:r>
    </w:p>
    <w:p>
      <w:r>
        <w:t>Die II. Beschwerdekammer hat die Beschwerde gutgeheissen.</w:t>
      </w:r>
    </w:p>
    <w:p>
      <w:r>
        <w:t>Aus den Erwägungen:</w:t>
      </w:r>
    </w:p>
    <w:p>
      <w:r>
        <w:t>3.3 Gemäss der Rechtsprechung des Europäischen Gerichtshofes für Men- schenrechte findet Art. 5 Ziff. 3 EMRK nur auf die Untersuchungshaft im Sinne von Art. 5 Ziff. 1 lit. c EMRK, nicht jedoch auf die Auslieferungshaft gemäss Art. 5 Ziff. 1 lit. f EMRK Anwendung (Urteile des Europäischen Gerichtshofes für Menschenrechte i.S. Quinn gegen Frankreich vom 22. März 1995, Série A, Bd. 311, Ziff. 53; i.S. Bogdanovski gegen Italien vom 14. Dezember 2006, Ziff. 59). Auch die Schweizerische Bundesverfas- sung enthält keine speziellen Garantien im Zusammenhang mit der Auslie- ferungshaft (BGE 133 I 168 E. 4.1 S. 171). Die Auslieferungshaft, wie auch die Untersuchungshaft in einem nationalen Strafverfahren, stellt jedoch eine Einschränkung des grundrechtlich geschützten Anspruchs auf persönliche Freiheit dar und hat daher das Prinzip der Verhältnismässigkeit zu beachten (Art. 10 Abs. 2 und Art. 31 Abs. 1 i.V.m. Art. 36 Abs. 3 BV; TPF RR.2007.124 vom 30. August 2007 E. 2.2.3). Das Auslieferungsver- fahren muss zudem beförderlich vorangetrieben werden, ansonsten die Auslieferungshaft nicht mehr gerechtfertigt erscheint (Urteile des Europäi- schen Gerichtshofes für Menschenrechte i.S. Quinn gegen Frankreich vom 22. März 1995, Série A, Bd. 311, Ziff. 48; i.S. Bogdanovski gegen Italien vom 14. Dezember 2006, Ziff. 59; BGE 133 I 168 E. 4.1 S. 171).</w:t>
      </w:r>
    </w:p>
    <w:p>
      <w:r>
        <w:t>TPF 2008 56</w:t>
      </w:r>
    </w:p>
    <w:p>
      <w:r>
        <w:t>59 Eine an sich gerechtfertigte Untersuchungshaft darf die mutmassliche Dauer der zu erwartenden Freiheitsstrafe nicht übersteigen. Der Haftrichter darf die Untersuchungshaft daher nur solange erstrecken, als sie nicht in grosse zeitliche Nähe der im Falle einer rechtskräftigen Verurteilung konkret zu erwartenden Dauer der freiheitsentziehenden Sanktion rückt, wobei die Möglichkeit der Ausfällung einer lediglich bedingt vollziehbaren Freiheits- strafe grundsätzlich nicht zu berücksichtigen ist (BGE 133 I 168 E. 4.1 S. 170 f.; 132 I 21 E. 4.1 S. 27 f.; 128 I 149 E. 2.2 S. 151; 124 I 208 E. 6 S. 215, je mit Hinweisen).</w:t>
      </w:r>
    </w:p>
    <w:p>
      <w:r>
        <w:t>Auch die Auslieferungshaft kann sich als unverhältnismässig erweisen, wenn sie die im ersuchenden Staat zu erwartende Freiheitsstrafe übersteigt und daher mit dem Unrechtsgehalt der mutmasslichen Straftat in keinem Verhältnis mehr steht (vgl. TPF RR.2007.124 vom 30. August 2007 E. 2.2.3). Die Schweiz hat sich jedoch grundsätzlich nicht zur Strafverfol- gungspolitik des ersuchenden Staates zu äussern (BGE 121 II 296 E. 4a S. 299 f.; TPF RR.2007.34 vom 29. März 2007 E. 5.1 und 5.2; RR.2007.44 vom 3. Mai 2007 E. 5.2.1; RR.2007.128+129 vom 5. November 2007 E. 4.2). Der Verfolgte hat auch keinen Anspruch darauf, im Staat mit dem mildesten Rechtssystem beurteilt und inhaftiert zu werden, und der Um- stand, dass den Verfolgten im ersuchenden Staat eine härtere Strafe erwar- tet, als wenn er für die selbe Tat in der Schweiz zur Rechenschaft gezogen worden wäre, stellt grundsätzlich kein Auslieferungshindernis dar (Urteil des Europäischen Gerichtshofes für Menschenrechte i.S. J. M. gegen Schweiz, VBP 62/1998 Nr. 89 S. 907; TPF RR.2007.128+129 vom 5. November 2007 E. 4.2). Der Rechtshilferichter muss daher bei der Beur- teilung der im ersuchenden Staat zu erwartenden Freiheitsstrafe und der Verhältnismässigkeit der schweizerischen Auslieferungshaft besondere Vorsicht walten lassen.</w:t>
      </w:r>
    </w:p>
    <w:p>
      <w:r>
        <w:t>3.4 Gemäss der bundesgerichtlichen Rechtsprechung ist bei der Beurteilung der Verhältnismässigkeit der Untersuchungshaft die auf schweizerisches Ersuchen im Ausland erfolgte Auslieferungshaft mitzuberücksichtigen (BGE 133 I 168 E. 4.1 S. 171). Zu einem analogen Ergebnis kam das Bun- desstrafgericht im Entscheid TPF 2007 124 im Zusammenhang mit der Beschlagnahme von Vermögenswerten. Werden Vermögenswerte in der Schweiz zuerst im (später delegierten) nationalen Strafverfahren und in der Folge rechtshilfeweise beschlagnahmt und besteht zwischen dem ehemali- gen schweizerischen Strafverfahren und dem Strafverfahren im rechtshilfe- ersuchenden Staat ein hinreichender sachlicher Konnex, so ist für die Frage</w:t>
      </w:r>
    </w:p>
    <w:p>
      <w:r>
        <w:t>TPF 2008 56</w:t>
      </w:r>
    </w:p>
    <w:p>
      <w:r>
        <w:t>60 der Beurteilung der Verhältnismässigkeit der Beschlagnahme vom früheren Zeitpunkt auszugehen, ab welchem die Betroffenen de facto nicht mehr über die Vermögenswerte verfügen konnten (TPF 2007 124 E. 8.2 S. 133 ff.). Gleiches muss auch im Rahmen der schweizerischen Ausliefe- rungshaft für die zuvor bereits in anderen Staaten erstandene Ausliefe- rungshaft gelten. Befand sich der Verfolgte daher, wie vorliegend, gestützt auf den gleichen Sachverhalt bzw. auf das gleiche verurteilende Erkenntnis bereits in anderen Staaten in Auslieferungshaft, so ist die in diesen Staaten erfolgte Haft, selbst wenn dem Auslieferungsersuchen in der Folge nicht stattgegeben wurde, bei der Prüfung der Verhältnismässigkeit der schweize- rischen Auslieferungshaft mitzuberücksichtigen.</w:t>
      </w:r>
    </w:p>
    <w:p>
      <w:r>
        <w:t>3.5 Die Auslieferungshaft des Beschwerdeführers in der Schweiz dauert seit dem 21. März 2007, mithin 13 Monate an. Zuvor wurde der Beschwerde- führer im Hinblick auf die Auslieferung zur Vollstreckung des Urteils des Gemeindegerichts Sisak vom 25. November 2003 zudem am 8. Novem- ber 2005 in Stuttgart (Deutschland) festgenommen und in Auslieferungshaft versetzt. Nachdem Kroatien jedoch trotz zweimaliger Erinnerung die von den deutschen Behörden verlangten Erklärungen und Zusicherungen nicht eingereicht hatte, wurde die Auslieferung des Beschwerdeführers mit Ent- scheid des Oberlandesgerichts Stuttgart vom 12. April 2006 verweigert und der Beschwerdeführer nach rund fünf Monaten aus der Auslieferungshaft entlassen. Die vom Beschwerdeführer in Belgien, der Niederlande und Frankreich geltend gemachte Auslieferungshaft ist demgegenüber, abgese- hen von einer sechswöchigen, jedoch nicht näher erläuterten Haft in Bel- gien, nicht ausreichend belegt.</w:t>
      </w:r>
    </w:p>
    <w:p>
      <w:r>
        <w:t>3.6 Der Beschwerdeführer wurde in Kroatien im Kontumazialverfahren wegen mehrfachen Diebstahls zu einer Freiheitsstrafe von 20 Monaten verurteilt. Gegen dieses Urteil hat er in Kroatien Einsprache erhoben und die Durchführung eines ordentlichen Verfahrens verlangt. Kommt es auch im ordentlichen Verfahren zu einer Verurteilung des Beschwerdeführers, so muss mit einer Strafe im gleichen Rahmen gerechnet werden.</w:t>
      </w:r>
    </w:p>
    <w:p>
      <w:r>
        <w:t>Alleine die in der Schweiz (13 Monate) und in Deutschland (fünf Monate) erfolgte Auslieferungshaft im Zusammenhang mit dem Urteil vom 25. No- vember 2003 rückt daher in grosse Nähe der im Falle einer definitiven Ver- urteilung zu erwartenden Freiheitsstrafe von 20 Monaten. Hinzu kommt, dass das Bundesverwaltungsgericht auf Anfrage der Beschwerdegegnerin vom 10. Januar und 20. Februar 2008 am 28. Februar 2008 wissen liess,</w:t>
      </w:r>
    </w:p>
    <w:p>
      <w:r>
        <w:t>TPF 2008 61</w:t>
      </w:r>
    </w:p>
    <w:p>
      <w:r>
        <w:t>61 dass das Beschwerdeverfahren in Sachen Asyl derzeit noch nicht spruchreif sei und der Schriftenwechsel mit dem BFM erst ab ca. Mitte März 2008 stattfinden wird, weshalb mit einem umgehenden Entscheid auch bei beför- derlicher Behandlung des Verfahrens nicht gerechnet werden könne.</w:t>
      </w:r>
    </w:p>
    <w:p>
      <w:r>
        <w:t>Die insgesamt 18 Monate dauernde Auslieferungshaft erscheint angesichts der gesamten Umstände und unter Berücksichtigung insbesondere auch der Tatsache, dass die definitive Auslieferung des Beschwerdeführers ange- sichts des noch hängigen Asylverfahrens voraussichtlich auch in den kom- menden zwei Monaten nicht stattfinden können wird, unverhältnismässig und nicht mehr gerechtfertigt. Der Beschwerdeführer ist daher aus der Aus- lieferungshaft zu entlassen.</w:t>
      </w:r>
    </w:p>
    <w:p>
      <w:r>
        <w:t>TPF 2008 61</w:t>
      </w:r>
    </w:p>
    <w:p>
      <w:r>
        <w:t>15. Auszug aus dem Entscheid der II. Beschwerdekammer in Sachen A. gegen Bundesamt für Justiz vom 30. April 2008 (RR.2007.186)</w:t>
      </w:r>
    </w:p>
    <w:p>
      <w:r>
        <w:t>Auslieferung an die United Nations Interim Administration Mission in Kosovo (UNMIK); völkerrechtliche Staatsqualität (Dreielemententheorie).</w:t>
      </w:r>
    </w:p>
    <w:p>
      <w:r>
        <w:t>Art. 1 Abs. 1 lit. a IRSG</w:t>
      </w:r>
    </w:p>
    <w:p>
      <w:r>
        <w:t>Wenn man von der Bestrafung durch internationale Gerichtshöfe absieht, gilt die Staatsqualität als Grundlage für die Berechtigung, ein Rechtshilfeersuchen an einen anderen Staat zu richten (E. 1.1). Die Staatlichkeit setzt ein Staatsge- biet, ein Staatsvolk und eine Form von effektiver souveräner Staatsgewalt voraus (Dreielemententheorie). Die drei Elemente müssen dabei in Beziehung zueinander stehen, d.h. die Staatsgewalt muss über ein entsprechendes Gebiet mit entsprechender Bevölkerung ausgeübt werden (E. 1.2). Der Kosovo erfüllt alle Merkmale eines Staates gemäss der Dreielemententheorie (E. 1.4). Staaten- nachfolge: Frage des anwendbaren Rechts (E.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