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50 vom 1. Januar 2008</w:t>
      </w:r>
    </w:p>
    <w:p>
      <w:r>
        <w:t>Bundesstrafgericht, 2008-01-01, DE</w:t>
      </w:r>
    </w:p>
    <w:p>
      <w:r>
        <w:rPr>
          <w:b/>
        </w:rPr>
        <w:t xml:space="preserve">Quelle: </w:t>
      </w:r>
      <w:r>
        <w:t>https://mcp.opencaselaw.ch/entscheid/bstger_TPF_2008_50</w:t>
      </w:r>
    </w:p>
    <w:p>
      <w:r>
        <w:t>FR: TPF TPF 2008 50 du 1 janvier 2008</w:t>
      </w:r>
    </w:p>
    <w:p>
      <w:r>
        <w:t>IT: TPF TPF 2008 50 del 1 gennaio 2008</w:t>
      </w:r>
    </w:p>
    <w:p>
      <w:pPr>
        <w:pStyle w:val="Heading2"/>
      </w:pPr>
      <w:r>
        <w:t>Regeste</w:t>
      </w:r>
    </w:p>
    <w:p>
      <w:r>
        <w:t>Verschiebung der Einvernahme.</w:t>
      </w:r>
    </w:p>
    <w:p>
      <w:pPr>
        <w:pStyle w:val="Heading2"/>
      </w:pPr>
      <w:r>
        <w:t>Erwägungen</w:t>
      </w:r>
    </w:p>
    <w:p>
      <w:r>
        <w:rPr>
          <w:b/>
        </w:rPr>
        <w:t>E. 14</w:t>
      </w:r>
    </w:p>
    <w:p>
      <w:r>
        <w:t>September 2006 E. 5.2; TPF BB.2006.63 vom 20. September 2006 und BK_B 016/04 vom 27. Mai 2004 E. 3.5);</w:t>
      </w:r>
    </w:p>
    <w:p>
      <w:r>
        <w:t>TPF 2008 52</w:t>
      </w:r>
    </w:p>
    <w:p>
      <w:r>
        <w:t>52 - dieser Grundsatz indessen dem Untersuchungsrichter die Möglichkeit offen lässt, je nach Begründetheit des Verschiebungsgesuches einzel- fallgerecht und mit der nötigen Flexibilität zu entscheiden;</w:t>
      </w:r>
    </w:p>
    <w:p>
      <w:r>
        <w:t>- A. vorliegend vom Untersuchungsrichteramt über die vorgesehene Einvernahme vom 23. April 2008 rund vier Wochen vorher und mithin rechtzeitig in Kenntnis gesetzt wurde;</w:t>
      </w:r>
    </w:p>
    <w:p>
      <w:r>
        <w:t>- A. keinen Anspruch auf Verschiebung der Einvernahme vom 23. Ap- ril 2008 hat, zumal eine Einvernahme keiner besonderen Vorbereitung – insbesondere auch nicht des Verteidigers – bedarf;</w:t>
      </w:r>
    </w:p>
    <w:p>
      <w:r>
        <w:t>- der Verteidiger nach dem Grundsatz der effektiven bzw. effizienten Verteidigung die Interessen des Angeschuldigten in ausreichender und wirksamer Weise wahrnehmen muss, es ihm daher obliegt, für eine an- gemessene Verteidigung von A. anlässlich der Einvernahme vom 23. April 2008 besorgt zu sein;</w:t>
      </w:r>
    </w:p>
    <w:p>
      <w:r>
        <w:t>- der Grundsatz der effizienten Verteidigung die Pflicht des Verteidigers beinhaltet, bei unlösbaren Terminkollisionen für die Terminwahrung eine Stellvertretung zu beauftragen, wozu er vorliegend gemäss des mit dem Beschuldigten abgeschlossenen Auftragsverhältnisses ausdrück- lich ermächtigt ist;</w:t>
      </w:r>
    </w:p>
    <w:p>
      <w:r>
        <w:t>(…)</w:t>
      </w:r>
    </w:p>
    <w:p>
      <w:r>
        <w:t>TPF 2008 52</w:t>
      </w:r>
    </w:p>
    <w:p>
      <w:r>
        <w:t>13. Extrait de l’arrêt de la Ire Cour des plaintes dans la cause A. contre Ministère public de la Confédération du 14 avril 2008 (BB.2008.7)</w:t>
      </w:r>
    </w:p>
    <w:p>
      <w:r>
        <w:t>Qualité pour agir; droit à la consultation du dossier.</w:t>
      </w:r>
    </w:p>
    <w:p>
      <w:r>
        <w:t>Art. 116, 214 al. 2 PPF</w:t>
      </w:r>
    </w:p>
    <w:p>
      <w:r>
        <w:t>Tant que l’identité du plaignant n’a pas été formellement établie, le droit de porter plainte contre les opérations ou les omissions du procureur général ne peut lui être reconnu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