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2008 165 vom 1. Januar 2008</w:t>
      </w:r>
    </w:p>
    <w:p>
      <w:r>
        <w:t>Bundesstrafgericht, 2008-01-01, FR</w:t>
      </w:r>
    </w:p>
    <w:p>
      <w:r>
        <w:rPr>
          <w:b/>
        </w:rPr>
        <w:t xml:space="preserve">Quelle: </w:t>
      </w:r>
      <w:r>
        <w:t>https://mcp.opencaselaw.ch/entscheid/bstger_TPF_2008_165</w:t>
      </w:r>
    </w:p>
    <w:p>
      <w:r>
        <w:t>FR: TPF TPF 2008 165 du 1 janvier 2008</w:t>
      </w:r>
    </w:p>
    <w:p>
      <w:r>
        <w:t>IT: TPF TPF 2008 165 del 1 gennaio 2008</w:t>
      </w:r>
    </w:p>
    <w:p>
      <w:pPr>
        <w:pStyle w:val="Heading2"/>
      </w:pPr>
      <w:r>
        <w:t>Regeste</w:t>
      </w:r>
    </w:p>
    <w:p>
      <w:r>
        <w:t>Ausstandsbegehren gegen den Staatsanwalt. Sachliche Zuständigkeit.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Auszug aus dem Entscheid der I. Beschwerdekammer in Sachen A. und B. AG gegen Eidgenössische Steuerverwaltung vom 4. Dezember 2008 (BV.2008.10, BV.2008.11)</w:t>
      </w:r>
    </w:p>
    <w:p>
      <w:r>
        <w:t>Verwaltungsstrafverfahren; Gerichtsferien.</w:t>
      </w:r>
    </w:p>
    <w:p>
      <w:r>
        <w:t>Art. 31 VStrR, Art. 22a VwVG</w:t>
      </w:r>
    </w:p>
    <w:p>
      <w:r>
        <w:t>Für die Bestimmung der Fristen im Bereich des Beschwerdeverfahrens vor der I. Beschwerdekammer nach Art. 25 ff. VStrR sind grundsätzlich die Art. 20-24 VwVG anwendbar (E. 1.3.2).</w:t>
      </w:r>
    </w:p>
    <w:p>
      <w:r>
        <w:t>In diesen Beschwerdeverfahren nicht beachtlich sind jedoch die Gerichtsferien nach Art. 22a VwVG (E. 1.3.3).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