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2008 116 vom 8. Oktober 2008</w:t>
      </w:r>
    </w:p>
    <w:p>
      <w:r>
        <w:t>Bundesstrafgericht, 2008-10-08, FR</w:t>
      </w:r>
    </w:p>
    <w:p>
      <w:r>
        <w:rPr>
          <w:b/>
        </w:rPr>
        <w:t xml:space="preserve">Quelle: </w:t>
      </w:r>
      <w:r>
        <w:t>https://mcp.opencaselaw.ch/entscheid/bstger_TPF_2008_116</w:t>
      </w:r>
    </w:p>
    <w:p>
      <w:r>
        <w:t>FR: TPF TPF 2008 116 du 8 octobre 2008</w:t>
      </w:r>
    </w:p>
    <w:p>
      <w:r>
        <w:t>IT: TPF TPF 2008 116 del 8 ottobre 2008</w:t>
      </w:r>
    </w:p>
    <w:p>
      <w:pPr>
        <w:pStyle w:val="Heading2"/>
      </w:pPr>
      <w:r>
        <w:t>Regeste</w:t>
      </w:r>
    </w:p>
    <w:p>
      <w:r>
        <w:t>Internationale Rechtshilfe in Strafsachen; Anwesenheit von Personen, die am ausländischen Prozess beteiligt sind.</w:t>
      </w:r>
    </w:p>
    <w:p>
      <w:pPr>
        <w:pStyle w:val="Heading2"/>
      </w:pPr>
      <w:r>
        <w:t>Erwägungen</w:t>
      </w:r>
    </w:p>
    <w:p>
      <w:r>
        <w:rPr>
          <w:b/>
        </w:rPr>
        <w:t>E. 6</w:t>
      </w:r>
    </w:p>
    <w:p>
      <w:r>
        <w:t>mars 2007, consid. 1.5.1, publié dans Die Praxis 11/2007 n° 130; 1A.215/2006 du 7 novembre 2006, consid. 2.3; 1A.213/2006 du 7 novem- bre 2006, consid. 3). Cette exigence poursuit toutefois le but d’éviter que, par leur présence, les agents de l’Etat requérant aient accès à des faits touchant au domaine secret avant que l’autorité suisse n’ait statué sur l’octroi de l’entraide (ATF 128 II 211 consid. 2.1; 118 Ib 547 consid. 6c; sur ce point voir cep. CAROLINE GSTÖHL, Geheimnisschutz im Verfahren der internationalen Rechtshilfe in Strafsachen, Thèse, Berne 2008, p. 281 ss; PETER POPP, Grundzüge der internationalen Rechtshilfe in Strafsachen, Bâle 2001, n° 422). La jurisprudence du Tribunal fédéral a néanmoins été nuancée dans une affaire d’entraide avec l’Italie (arrêt du Tribunal fédéral 1A.275/2005 du 15 mai 2007, consid. 3.3.3). Dans le même sens, lors d’affaires d’entraide avec les USA, le Tribunal pénal fédéral a toléré la prise de notes dans la mesure où ces notes étaient remises à l’autorité requise à la fin de l’exécution de la requête (TPF RR.2007.48 et RR 2007.49 du 16 av- ril 2007). Le dépôt des notes au dossier suisse jusqu’au moment de l’entrée en force de la décision de clôture constitue en effet une mesure suffisante pour empêcher l’utilisation prématurée des informations par les autorités requérantes (ég. ROBERT ZIMMERMANN, Communication d’informations et de renseignements pour les besoins de l’entraide judiciaire internationale en matière pénale: un paradigme perdu?, in AJP/PJA 1/2007, p. 65, note de bas de page n° 26; FRIDOLIN BEGLINGER, Rechtshilfeverfahren: Anwesenheit, spontane Übermittlung und Zweites Zusatzprotokoll zum Europäischen Rechtshilfeübereinkommen, AJP/PJA 7/2007, p. 918).</w:t>
      </w:r>
    </w:p>
    <w:p>
      <w:r>
        <w:t>TPF 2008 116</w:t>
      </w:r>
    </w:p>
    <w:p>
      <w:r>
        <w:t>118 Au vu de cette jurisprudence, la question qui se pose est celle de savoir si cette solution ne peut être envisagée que dans les rapports d’entraide avec l’Italie et les USA ou si elle peut l’être de manière plus étendue. S’il est certes vrai que, contrairement à l’art. 65a al. 2 EIMP, les traités bilatéraux d’entraide conclus par la Suisse avec ces deux pays prévoient un droit de l’autorité requérante à participer à l’exécution de l’entraide et à y déployer une participation active (poser directement des questions et, implicitement, tirer profit de leur présence également par la prise de notes, cf. art. IX ch. 2 de l’accord du 10 septembre 1998 entre la Suisse et l’Italie, entré en vigueur le 1er juin 2003 [RS 0.351.945.41] et art. 12 ch. 4 TEJUS [RS 0.351.933.6]), rien ne s’oppose à ce que, de façon générale, lorsque la présence de l’autorité étrangère est accordée, celle-ci puisse également prendre des notes, notamment lorsqu’elles seraient utiles au tri des pièces ou à la formulation par l’autorité requérante de questions supplémentaires, par l’intermédiaire de l’autorité requise, aux personnes interrogées. Cette solution n’est en tous les cas pas contraire aux articles 65a EIMP et 26 al. 2 OEIMP. Ce qui est déterminant au vu des exigences de l’EIMP pour la procédure d’entraide, c’est moins la prise de notes que l’utilisation prématurée de celles-ci. Dans la mesure où l’autorité requérante s’est engagée à ne pas utiliser prématurément les informations et à la condition que les notes prises lors de l’exécution restent dans le dossier suisse, ce risque doit être considéré comme étant levé. Cette manière d’envisager la question est partagée par une partie de la doctrine (ZIMMERMANN, op. cit., p. 62, note de bas de page n° 26; BEGLINGER, op. cit., p. 916 à 918).</w:t>
      </w:r>
    </w:p>
    <w:p>
      <w:r>
        <w:t>5.2 Dans le cas d’espèce, les notes prises par l’autorité étrangère durant l’audition ont été dûment déposées au dossier et les représentants de cette autorité se sont engagés à ne pas faire un usage prématurément des informations obtenues, ce qui assure une protection suffisante des droits du recourant. Il n’y a donc aucune raison de craindre un quelconque usage abusif des renseignements rendus accessibles. Ce grief est également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