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9 vom 17. Januar 2007</w:t>
      </w:r>
    </w:p>
    <w:p>
      <w:r>
        <w:t>Bundesstrafgericht, 2007-01-17, DE</w:t>
      </w:r>
    </w:p>
    <w:p>
      <w:r>
        <w:rPr>
          <w:b/>
        </w:rPr>
        <w:t xml:space="preserve">Quelle: </w:t>
      </w:r>
      <w:r>
        <w:t>https://mcp.opencaselaw.ch/entscheid/bstger_TPF_2007_9</w:t>
      </w:r>
    </w:p>
    <w:p>
      <w:r>
        <w:t>FR: TPF TPF 2007 9 du 17 janvier 2007</w:t>
      </w:r>
    </w:p>
    <w:p>
      <w:r>
        <w:t>IT: TPF TPF 2007 9 del 17 gennaio 2007</w:t>
      </w:r>
    </w:p>
    <w:p>
      <w:pPr>
        <w:pStyle w:val="Heading2"/>
      </w:pPr>
      <w:r>
        <w:t>Regeste</w:t>
      </w:r>
    </w:p>
    <w:p>
      <w:r>
        <w:t>Sachliche Zuständigkeit. Beschleunigungsgebot.</w:t>
      </w:r>
    </w:p>
    <w:p>
      <w:pPr>
        <w:pStyle w:val="Heading2"/>
      </w:pPr>
      <w:r>
        <w:t>Erwägungen</w:t>
      </w:r>
    </w:p>
    <w:p>
      <w:r>
        <w:rPr>
          <w:b/>
        </w:rPr>
        <w:t>E. 9</w:t>
      </w:r>
    </w:p>
    <w:p>
      <w:r>
        <w:t>TPF 2007 9</w:t>
      </w:r>
    </w:p>
    <w:p>
      <w:r>
        <w:t>2. Auszug aus dem Entscheid der I. Beschwerdekammer in Sachen Bundes- anwaltschaft gegen Kanton Waadt vom 17. Januar 2007 (BG.2006.37)</w:t>
      </w:r>
    </w:p>
    <w:p>
      <w:r>
        <w:t>Sachliche Zuständigkeit. Beschleunigungsgebot.</w:t>
      </w:r>
    </w:p>
    <w:p>
      <w:r>
        <w:t>Art. 337 Abs. 1 StGB, Art. 28 Abs. 1 BetmG, Art. 5 Ziff. 3, 6 Ziff. 1 EMRK</w:t>
      </w:r>
    </w:p>
    <w:p>
      <w:r>
        <w:t>Sind die Voraussetzungen von Art. 337 Abs. 1 StGB nicht erfüllt, so verfolgen und beurteilen grundsätzlich die Kantone die nach dem Betäubungsmittelge- setz strafbaren Handlungen (E. 2.2 und 2.3).</w:t>
      </w:r>
    </w:p>
    <w:p>
      <w:r>
        <w:t>Die Bundesgerichtsbarkeit kann im Falle des Fehlens der Voraussetzungen der sachlichen Zuständigkeit gemäss Art. 337 StGB gestützt auf das Beschleuni- gungsgebot gemäss Art. 5 Ziff. 3 und Art. 6 Ziff. 1 EMRK begründet werden. Die gesetzliche Grundlage der Bundesgerichtsbarkeit ergibt sich hierbei direkt aus den erwähnten staatsvertraglichen Bestimmungen (E. 3.1.3).</w:t>
      </w:r>
    </w:p>
    <w:p>
      <w:r>
        <w:t>Compétence ratione materiae. Principe de célérité.</w:t>
      </w:r>
    </w:p>
    <w:p>
      <w:r>
        <w:t>Art. 337 al. 1 CP, art. 28 al. 1 LStup, art. 5 ch. 3, 6 ch. 1 CEDH</w:t>
      </w:r>
    </w:p>
    <w:p>
      <w:r>
        <w:t>Si les conditions d’application de l’art. 337 al. 1 CP ne sont pas réalisées, la poursuite et le jugement des actes punissables en vertu de la loi fédérale sur les stupéfiants incombent en principe aux cantons (consid. 2.2 et 2.3).</w:t>
      </w:r>
    </w:p>
    <w:p>
      <w:r>
        <w:t>Si les conditions de la compétence en raison de la matière au sens de l’art. 337 CP ne sont pas réalisées, la compétence de la juridiction fédérale peut être fondée sur le devoir de célérité prévu aux art. 5 ch. 3 et 6 ch. 1 CEDH. La base légale qui fonde la compétence de la juridiction fédérale résulte alors directe- ment des dispositions de droit international précitées (consid. 3.1.3).</w:t>
      </w:r>
    </w:p>
    <w:p>
      <w:r>
        <w:t>Competenza ratione materiae. Principio di celerità.</w:t>
      </w:r>
    </w:p>
    <w:p>
      <w:r>
        <w:t>Art. 337 cpv. 1 CP, art. 28 cpv. 1 LStup, art. 5 n. 3, 6 n. 1 CEDU</w:t>
      </w:r>
    </w:p>
    <w:p>
      <w:r>
        <w:t>Se le condizioni di cui all’art. 337 cpv. 1 CP non sono adempiute, in linea di principio gli atti punibili ai sensi della legge sugli stupefacenti sono perseguiti dai Cantoni (consid. 2.2 e 2.3).</w:t>
      </w:r>
    </w:p>
    <w:p>
      <w:r>
        <w:t>Se mancano le condizioni per la competenza per materia secondo l’art. 337 CP, la giurisdizione federale può essere fondata sul principio di celerità secondo l’art. 5 n. 3 e l’art. 6 n. 1 CEDU. In tal caso la base legale della giurisdizione</w:t>
      </w:r>
    </w:p>
    <w:p>
      <w:r>
        <w:t>TPF 2007 9</w:t>
      </w:r>
    </w:p>
    <w:p>
      <w:r>
        <w:rPr>
          <w:b/>
        </w:rPr>
        <w:t>E. 10</w:t>
      </w:r>
    </w:p>
    <w:p>
      <w:r>
        <w:t>federale risulta direttamente dalle disposizioni del diritto internazionale men- zionate (consid. 3.1.3).</w:t>
      </w:r>
    </w:p>
    <w:p>
      <w:r>
        <w:t>Zusammenfassung des Sachverhalts:</w:t>
      </w:r>
    </w:p>
    <w:p>
      <w:r>
        <w:t>Am 21. Juli 2003 eröffnete die Bundesanwaltschaft (BA) ein gerichtspoli- zeiliches Ermittlungsverfahren gegen A. und zwei weitere Mitbeteiligte wegen des Verdachts der qualifiziert begangenen Widerhandlungen gegen das Betäubungsmittelgesetz, ausgehend von einer kriminellen Organisation. Im Verlaufe der Ermittlungen wurde das Verfahren gegen insgesamt sechs weitere Beschuldigte ausgedehnt. Neben umfangreichen Überwachungs- massnahmen wurden am 15. November 2005 an verschiedenen Orten Haus- durchsuchungen durchgeführt und es wurden A., B. und C. verhaftet. In ihrem Schlussbericht vom 3. November 2006 kam die Bundeskriminalpoli- zei zum Schluss, dass trotz der in den Kantonen aufwändig durchgeführten Ermittlungen der anfängliche Tatverdacht, die Widerhandlungen gegen das Betäubungsmittelgesetz seien von einer kriminellen Organisation ausgegan- gen, beweismässig nicht habe erhärtet werden können. Mit Eingabe vom</w:t>
      </w:r>
    </w:p>
    <w:p>
      <w:r>
        <w:rPr>
          <w:b/>
        </w:rPr>
        <w:t>E. 12</w:t>
      </w:r>
    </w:p>
    <w:p>
      <w:r>
        <w:t>auch, dass sie durch eine weitere Verfahrensdauer erheblich betroffen sind (anders im Fall TPF SK.2006.4 vom 16. und 28. August 2006, wo die Be- schuldigten sich teilweise ausser Landes aufhielten). In Berücksichtigung der bereits langen Haftdauer und dem aktuellen Stand des laufenden Ver- fahrens haben die zuständigen Strafverfolgungsbehörden die vorliegende Strafsache nun möglichst beförderlich zu behandeln, um eine Verletzung des in Art. 5 Ziff. 3 EMRK statuierten Beschleunigungsgebotes zu vermei- den. Es drängt sich auf Grund dieser direkt anwendbaren Norm des Völker- rechts somit auf, diejenigen Behörden mit der Fortführung des Verfahrens zu beauftragen, welche im vorliegenden Fall wahrscheinlich rascher ein abschliessendes Sachurteil herbeiführen können. Mit dem Gesuchsgegner ist diesbezüglich übereinstimmend festzuhalten, dass das Studium der um- fangreichen Akten durch eine neu mit dem Verfahren betraute Behörde eine erhebliche Zeit in Anspruch nehmen wird. Die Gesuchstellerin wendet hier- zu ein, dass sich auch im Falle der Weiterführung des Verfahrens durch die Bundesstrafverfolgungsbehörden als nächstes das Eidg. Untersuchungsrich- teramt, mithin ebenfalls eine bisher nicht mit dem Verfahren vertraute Be- hörde ins Dossier einarbeiten müsse, sich also durch die Belassung des Verfahrens bei den Bundesstrafverfolgungsbehörden im Hinblick auf eine Beschleunigung des Verfahrens nichts gewinnen liesse. Die Gesuchstellerin verkennt dabei jedoch, dass sie selber nach abgeschlossener Voruntersu- chung durch das Eidg. Untersuchungsrichteramt gemäss Art. 120 bzw. 125 BStP über die Einstellung des Verfahrens bzw. über die Anklageerhe- bung zu entscheiden hat. Bei dieser Entscheidung kann die Gesuchstellerin zweifelsohne von ihrem Vorwissen als Leiterin der bisherigen Ermittlungen (vgl. Art. 104 Abs. 1 BStP), welche im vorliegenden Verfahren zudem eine umfassende Anzahl von Einvernahmen und anderen Ermittlungshandlungen selber vorgenommen hat, profitieren. Ausserdem ist sie im ganzen Bundes- strafverfahren Partei (Art. 34 BStP) und kann so ihr Vorwissen auch in die Voruntersuchung einbringen. Somit ist klar, dass zwar auch im Falle einer Belassung des vorliegenden Verfahrens in den Händen der Bundesstrafver- folgungsbehörden als nächstes eine mit dem Dossier bisher noch nicht ver- traute Instanz sich diesem annehmen muss, dass aber zumindest im nach- folgenden Stadium einer allfälligen Anklageerhebung durch die Gesuchstel- lerin die Verfahrensdauer verkürzt werden kann. Da sich gemäss den Aus- führungen der Gesuchstellerin der nunmehr strafrechtlich noch relevante Sachverhalt relativ einfach präsentiert, dürfte auch die vom Eidg. Untersu- chungsrichteramt noch vorzunehmende Feststellung des Sachverhalts (Art. 113 Abs. 1 BStP) keine übermässig lange Dauer beanspruchen. Eine Belassung der Verfahrensleitung in den Händen der Bundesstrafverfol-</w:t>
      </w:r>
    </w:p>
    <w:p>
      <w:r>
        <w:t>TPF 2007 13</w:t>
      </w:r>
    </w:p>
    <w:p>
      <w:r>
        <w:rPr>
          <w:b/>
        </w:rPr>
        <w:t>E. 13</w:t>
      </w:r>
    </w:p>
    <w:p>
      <w:r>
        <w:t>gungsbehörden rechtfertigt sich vor dem Hintergrund des zu beachtenden Beschleunigungsgebotes auch deshalb, weil neben den hauptsächlich in französischer Sprache verfassten Verfahrensakten, ein beachtlicher Anteil in deutscher Sprache vorhanden ist. Währenddem die Bundesstrafverfol- gungsbehörden leicht mehrsprachig operieren können, ergäbe sich im Falle der Übertragung des Verfahrens auf die Behörden des Kantons Waadt ein Übersetzungsaufwand, welcher das Verfahren weiter verzögern würde. Auch die Tatsache, dass sämtliche Mitbeschuldigten durch deutschsprachi- ge Verteidiger vertreten werden, spricht vor diesem Hintergrund für eine Belassung der Verfahrensleitung in den Händen der Bundesstrafverfol- gungsbehörden. Würden diese infolge einer Übertragung des Verfahrens auf die Strafverfolgungsbehörden des Kantons Waadt ihre Mandate niederle- gen, so würde das Dossier durch die neu beizuziehenden Strafverteidiger weiter verzögert. Insgesamt ergibt sich vorliegend, dass gestützt auf Art. 5 Ziff. 3 EMRK die Strafverfolgungsbehörden des Bundes berechtigt und verpflichtet sind, das gegen A. und Mitbeteiligte eröffnete Strafverfahren weiterzuführen. Die gesetzliche Grundlage der Bundesgerichtsbarkeit ergibt sich direkt aus der erwähnten staatsvertraglichen Bestimmung. Im Übrigen sprechen auch Gründe der Effizienz gegen eine Übertragung des Verfahrens auf den Kanton Waadt. Dem Wunsch nach Effizienzsteigerung, welcher seinerzeit den Anstoss zur Schaffung der neuen Bundeskompetenzen im Bereich der Strafverfolgung bildete, wird so gebührend Rechnung getragen (vgl. hierzu das Urteil des Bundesgerichts 6S.455/2005 vom 28. März 2006 E. 2 sowie BGE 130 IV 68, 70 f. E. 2.2, BGE 128 IV 225, 231 E. 3.5).</w:t>
      </w:r>
    </w:p>
    <w:p>
      <w:r>
        <w:t>TPF 2007 13</w:t>
      </w:r>
    </w:p>
    <w:p>
      <w:r>
        <w:t>3. Extrait de la décision du président de la Ire Cour des plaintes dans la cause Ministère public de la Confédération contre inconnus du 24 jan- vier 2007 (TK.2007.5)</w:t>
      </w:r>
    </w:p>
    <w:p>
      <w:r>
        <w:t>Surveillance téléphonique; surveillance d’un tiers; raccordement de la victime.</w:t>
      </w:r>
    </w:p>
    <w:p>
      <w:r>
        <w:t>Art. 4 al. 1 LSCPT</w:t>
      </w:r>
    </w:p>
    <w:p>
      <w:r>
        <w:t>La surveillance du raccordement d'un tiers n'est possible que lorsque le suspect utilise ou fait utiliser dit raccordement. Tel n'est pas le cas si le raccordement surveillé est celui de la victime, avec laquelle le suspect prend contact.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