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57 vom 1. Januar 2007</w:t>
      </w:r>
    </w:p>
    <w:p>
      <w:r>
        <w:t>Bundesstrafgericht, 2007-01-01, IT</w:t>
      </w:r>
    </w:p>
    <w:p>
      <w:r>
        <w:rPr>
          <w:b/>
        </w:rPr>
        <w:t xml:space="preserve">Quelle: </w:t>
      </w:r>
      <w:r>
        <w:t>https://mcp.opencaselaw.ch/entscheid/bstger_TPF_2007_57</w:t>
      </w:r>
    </w:p>
    <w:p>
      <w:r>
        <w:t>FR: TPF TPF 2007 57 du 1 janvier 2007</w:t>
      </w:r>
    </w:p>
    <w:p>
      <w:r>
        <w:t>IT: TPF TPF 2007 57 del 1 gennaio 2007</w:t>
      </w:r>
    </w:p>
    <w:p>
      <w:pPr>
        <w:pStyle w:val="Heading2"/>
      </w:pPr>
      <w:r>
        <w:t>Regeste</w:t>
      </w:r>
    </w:p>
    <w:p>
      <w:r>
        <w:t>Internationale Rechtshilfe in Strafsachen an Italien; Herausgabe von Beweismitteln und Beschlagnahme; zulässige Beschwerdegründe im Bereich der "anderen Rechtshilfe".</w:t>
      </w:r>
    </w:p>
    <w:p>
      <w:pPr>
        <w:pStyle w:val="Heading2"/>
      </w:pPr>
      <w:r>
        <w:t>Erwägungen</w:t>
      </w:r>
    </w:p>
    <w:p>
      <w:r>
        <w:rPr>
          <w:b/>
        </w:rPr>
        <w:t>E. 3.1</w:t>
      </w:r>
    </w:p>
    <w:p>
      <w:r>
        <w:t>Il ricorso è stato tempestivamente interposto contro una decisione di consegna di mezzi di prova e di sequestro, resa dall’autorità cantonale di esecuzione. I requisiti di ammissibilità di cui agli art. 80k, così come 80e cpv. 1 in relazione con l’art. 25 AIMP, sono pacificamente dati. La ricorren- te è titolare della relazione bancaria colpita da sequestro e la cui documenta- zione è oggetto del provvedimento di consegna di mezzi di prova ex art. 74 AIMP. Come tale è legittimata a ricorrere contro le misure di assistenza giudiziaria impugnate (v. art. 9a lett. a OAIMP; DTF 118 Ib 547 con- sid. 1d).</w:t>
      </w:r>
    </w:p>
    <w:p>
      <w:r>
        <w:rPr>
          <w:b/>
        </w:rPr>
        <w:t>E. 3.2</w:t>
      </w:r>
    </w:p>
    <w:p>
      <w:r>
        <w:t>In materia di "altra assistenza", di cui nella Parte terza della AIMP, le censure ammissibili nelle impugnative contro le decisioni dell’autorità d’esecuzione sono in primo luogo elencate all’art. 80i di questa stessa legge. Il ricorrente può far valere: la violazione del diritto federale, compreso l’ec- cesso o l’abuso del potere di apprezzamento (lett. a; come in precedenza nell’ambito del ricorso di diritto amministrativo al Tribunale federale, me- diante questo tipo di doglianza si può denunciare anche la violazione di diritti fondamentali, sia di origine costituzionale che convenzionale, v. DTF 130 II 337 consid. 1.3 e rinvii; si veda altresì il Messaggio concer- nente la revisione totale dell’organizzazione giudiziaria federale, del 28 febbraio 2001, FF 2001 pag. 3890 e seg.); l’applicazione inammissibile o manifestamente inesatta del diritto straniero nei casi di cui all’art. 65 AIMP (lett. b). La II Corte dei reclami penali sindaca inoltre l’accertamento inesat- to o incompleto di fatti giuridicamente rilevanti nonché l’adeguatezza della decisione impugnata giusta l’art. 49 lett. b e c PA. L’estensione del potere d’esame anche alle censure previste in quest’ultima disposizione si giustifi- ca alla luce dei materiali legislativi, visto che, a parte il venir meno delle censure di diritto procedurale cantonale giusta l’art. 80i cpv. 2 vAIMP, la nuova istanza federale di ricorso in materia di assistenza giudiziaria interna- zionale delibera essenzialmente con lo stesso potere cognitivo delle prece- denti autorità di ricorso cantonali (v. FF 2001 pagg. 3972 e 3974). Per un’interpretazione teleologicamente corretta delle pertinenti norme sui mo- tivi di ricorso occorre dunque eterointegrare le censure di cui all’art. 80i AIMP con quelle del suddetto articolo della legge federale sulla procedura</w:t>
      </w:r>
    </w:p>
    <w:p>
      <w:r>
        <w:t>TPF 2007 60</w:t>
      </w:r>
    </w:p>
    <w:p>
      <w:r>
        <w:t>60 amministrativa. Questa soluzione corrisponde del resto a quella già adottata in materia di estradizione, dove l’assenza di normative specifiche nella AIMP sui motivi di ricorso giustifica in ogni caso un’applicazione diretta dell’art. 49 PA (v. sentenza TPF RR.2007.27 del 10 aprile 2007, con- sid. 2.2).</w:t>
      </w:r>
    </w:p>
    <w:p>
      <w:r>
        <w:t>TPF 2007 60</w:t>
      </w:r>
    </w:p>
    <w:p>
      <w:r>
        <w:t>15. Auszug aus dem Entscheid der Strafkammer in Sachen Bundesanwalt- schaft gegen A. vom 12. Juni 2007 (SK.2006.25)</w:t>
      </w:r>
    </w:p>
    <w:p>
      <w:r>
        <w:t>Anklagegrundsatz; Rückweisungsentscheid.</w:t>
      </w:r>
    </w:p>
    <w:p>
      <w:r>
        <w:t>Art. 132 Abs. 1 BGG, Art. 146 ff. BStP, Art. 277bis, 277ter aBStP</w:t>
      </w:r>
    </w:p>
    <w:p>
      <w:r>
        <w:t>Wenn ein Entscheid des Bundesgerichts vor Inkrafttreten des Bundesgerichts- gesetzes ergeht, richten sich dessen Wirkungen nach den altrechtlichen Be- stimmungen des Bundesstrafprozesses (E. 1.1).</w:t>
      </w:r>
    </w:p>
    <w:p>
      <w:r>
        <w:t>Die kassatorische Wirkung des Urteils des Bundesgerichts betrifft nur diejeni- gen Teile des aufgehobenen Entscheides, in welchen die Beschwerde gutgeheis- sen wurde (E. 1.2).</w:t>
      </w:r>
    </w:p>
    <w:p>
      <w:r>
        <w:t>Bindung an eine im gerichtlichen Verfahren verbesserte bzw. inhaltlich geän- derte Anklage der Bundesanwaltschaft (E. 1.3).</w:t>
      </w:r>
    </w:p>
    <w:p>
      <w:r>
        <w:t>Bei Rückweisung einer Sache zu neuer Entscheidung kann eine erneute Haupt- verhandlung durchgeführt werden, namentlich zur Abklärung neuer Sachver- haltselemente oder zur Klarstellung der Parteistandpunkte (E. 1.4).</w:t>
      </w:r>
    </w:p>
    <w:p>
      <w:r>
        <w:t>Principe d’accusation; décision de renvoi.</w:t>
      </w:r>
    </w:p>
    <w:p>
      <w:r>
        <w:t>Art. 132 al. 1 LTF, art. 146 ss PPF, art. 277 bis, 277ter aPPF</w:t>
      </w:r>
    </w:p>
    <w:p>
      <w:r>
        <w:t>Lorsqu’un arrêt du Tribunal fédéral a été rendu avant l’entrée en vigueur de la loi sur le Tribunal fédéral, ses effets se déterminent d’après les anciennes dispo- sitions de la loi sur la procédure pénale fédérale (consid. 1.1).</w:t>
      </w:r>
    </w:p>
    <w:p>
      <w:r>
        <w:t>L’effet cassatoire de l’arrêt du Tribunal fédéral ne porte que sur les parties de la décision annulée contre lesquelles le recours a été admis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