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25 vom 1. Januar 2007</w:t>
      </w:r>
    </w:p>
    <w:p>
      <w:r>
        <w:t>Bundesstrafgericht, 2007-01-01, FR</w:t>
      </w:r>
    </w:p>
    <w:p>
      <w:r>
        <w:rPr>
          <w:b/>
        </w:rPr>
        <w:t xml:space="preserve">Quelle: </w:t>
      </w:r>
      <w:r>
        <w:t>https://mcp.opencaselaw.ch/entscheid/bstger_TPF_2007_25</w:t>
      </w:r>
    </w:p>
    <w:p>
      <w:r>
        <w:t>FR: TPF TPF 2007 25 du 1 janvier 2007</w:t>
      </w:r>
    </w:p>
    <w:p>
      <w:r>
        <w:t>IT: TPF TPF 2007 25 del 1 gennaio 2007</w:t>
      </w:r>
    </w:p>
    <w:p>
      <w:pPr>
        <w:pStyle w:val="Heading2"/>
      </w:pPr>
      <w:r>
        <w:t>Regeste</w:t>
      </w:r>
    </w:p>
    <w:p>
      <w:r>
        <w:t>Verteidigungsrechte; Akteneinsicht.</w:t>
      </w:r>
    </w:p>
    <w:p>
      <w:pPr>
        <w:pStyle w:val="Heading2"/>
      </w:pPr>
      <w:r>
        <w:t>Erwägungen</w:t>
      </w:r>
    </w:p>
    <w:p>
      <w:r>
        <w:rPr>
          <w:b/>
        </w:rPr>
        <w:t>E. 27</w:t>
      </w:r>
    </w:p>
    <w:p>
      <w:r>
        <w:t>carences qui les amènent à entreprendre des démarches inopportunes. Dans ces circonstances, on ne saurait reprocher au JIF de renvoyer les inculpés à s’adresser à lui par l’intermédiaire de leurs défenseurs dont, il convient de le souligner, ils n'ont jamais contesté les qualités. En l’espèce, et compte tenu des échanges de correspondance entre les défenseurs des inculpés et le JIF s’agissant de la consultation du dossier et de la mise à disposition d’une version électronique, le magistrat en charge de l’instruction préparatoire n’a pas violé les droits de la défense en se bornant à transmettre la requête du plaignant à son défenseur.</w:t>
      </w:r>
    </w:p>
    <w:p>
      <w:r>
        <w:t>TPF 2007 27</w:t>
      </w:r>
    </w:p>
    <w:p>
      <w:r>
        <w:t>8. Extrait de l’arrêt de la Cour des affaires pénales du Tribunal pénal fédéral dans la cause Ministère public de la Confédération contre S. du 20 mars 2007 (SK.2006.19)</w:t>
      </w:r>
    </w:p>
    <w:p>
      <w:r>
        <w:t>Obligations de l’intermédiaire financier.</w:t>
      </w:r>
    </w:p>
    <w:p>
      <w:r>
        <w:t>Art. 305ter al. 1 CP, art. 4–6 LBA</w:t>
      </w:r>
    </w:p>
    <w:p>
      <w:r>
        <w:t>L’ayant droit économique de valeurs est la personne qui peut démontrer, au- delà de toute construction juridique formelle, que celles-ci lui appartiennent sous un angle économique (consid. 2.2).</w:t>
      </w:r>
    </w:p>
    <w:p>
      <w:r>
        <w:t>L’infraction punie par l’art. 305ter CP consiste à accepter des valeurs sans vérifier l’identité de leur ayant droit économique, malgré des indices laissant penser que le partenaire contractuel n’est pas le même que l’ayant droit éco- nomique. L’intermédiaire financier ne peut pas, en principe, déléguer ses de- voirs à des tiers (consid. 2.3–2.4). Appréciation dans les circonstances du cas d’espèce (consid. 2.5).</w:t>
      </w:r>
    </w:p>
    <w:p>
      <w:r>
        <w:t>Pflichten des Finanzintermediärs.</w:t>
      </w:r>
    </w:p>
    <w:p>
      <w:r>
        <w:t>Art. 305ter Abs. 1 StGB, Art. 4–6 GwG</w:t>
      </w:r>
    </w:p>
    <w:p>
      <w:r>
        <w:t>Der wirtschaftlich Berechtigte an Vermögenswerten ist die Person, die darlegen kann, dass ihr die Vermögenswerte, unbesehen der formaljuristischen Kon- struktion, aus wirtschaftlicher Sicht gehören (E. 2.2).</w:t>
      </w:r>
    </w:p>
    <w:p>
      <w:r>
        <w:t>Die strafbare Handlung nach Art. 305ter StGB besteht darin, Vermögenswerte anzunehmen, ohne die Identität des wirtschaftlich Berechtigten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