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2007 156 vom 1. Januar 2007</w:t>
      </w:r>
    </w:p>
    <w:p>
      <w:r>
        <w:t>Bundesstrafgericht, 2007-01-01, FR</w:t>
      </w:r>
    </w:p>
    <w:p>
      <w:r>
        <w:rPr>
          <w:b/>
        </w:rPr>
        <w:t xml:space="preserve">Quelle: </w:t>
      </w:r>
      <w:r>
        <w:t>https://mcp.opencaselaw.ch/entscheid/bstger_TPF_2007_156</w:t>
      </w:r>
    </w:p>
    <w:p>
      <w:r>
        <w:t>FR: TPF TPF 2007 156 du 1 janvier 2007</w:t>
      </w:r>
    </w:p>
    <w:p>
      <w:r>
        <w:t>IT: TPF TPF 2007 156 del 1 gennaio 2007</w:t>
      </w:r>
    </w:p>
    <w:p>
      <w:pPr>
        <w:pStyle w:val="Heading2"/>
      </w:pPr>
      <w:r>
        <w:t>Regeste</w:t>
      </w:r>
    </w:p>
    <w:p>
      <w:r>
        <w:t>Interessenkonflikt. Aufhebung des Mandats eines Wahlverteidigers.</w:t>
      </w:r>
    </w:p>
    <w:p>
      <w:pPr>
        <w:pStyle w:val="Heading2"/>
      </w:pPr>
      <w:r>
        <w:t>Erwägungen</w:t>
      </w:r>
    </w:p>
    <w:p>
      <w:r>
        <w:rPr>
          <w:b/>
        </w:rPr>
        <w:t>E. 2.1</w:t>
      </w:r>
    </w:p>
    <w:p>
      <w:r>
        <w:t>Le plaignant soutient que la CFMJ n’a pas la compétence de révoquer les contrats de mandat qu’il a conclus avec ses clients. La CFMJ, quant à elle, se référant à l’art. 35 DPA, considère que le législateur avait l’intention d’inclure la révocation de mandat parmi les actes d’enquête de son ressort.</w:t>
      </w:r>
    </w:p>
    <w:p>
      <w:r>
        <w:rPr>
          <w:b/>
        </w:rPr>
        <w:t>E. 2.2</w:t>
      </w:r>
    </w:p>
    <w:p>
      <w:r>
        <w:t>A teneur de l’art. 35 DPA, le fonctionnaire enquêteur peut interdire à l’inculpé et à son défenseur de participer à l’administration des preuves lorsque leur présence entrave l’instruction ou si un intérêt essentiel, public ou privé, s’y oppose. Par ailleurs, en tant qu’autorité de poursuite (art. 57 al. 1 LMJ), le secrétariat de la CFMJ peut également empêcher de plaider l’avocat confronté à un conflit d’intérêts (arrêt du Tribunal fédéral 1A.223/2002 du 18 mars 2003, consid. 3.2).</w:t>
      </w:r>
    </w:p>
    <w:p>
      <w:r>
        <w:rPr>
          <w:b/>
        </w:rPr>
        <w:t>E. 2.3</w:t>
      </w:r>
    </w:p>
    <w:p>
      <w:r>
        <w:t>En l’espèce, à la différence du défenseur d’office désigné par l’admini- stration (art. 33 DPA), dont la commission relève d’un acte de puissance publique et que seuls un acte de puissance publique du même genre ou la loi peuvent avoir pour effet de relever de ses fonctions (VERNIORY, Les droits de la défense dans les phases préliminaires du procès pénal, Berne 2005, p. 265), le plaignant a été choisi par ses clients. Aussi, quelle que soit la prétendue volonté du législateur, en l’absence de base légale attribuant cette</w:t>
      </w:r>
    </w:p>
    <w:p>
      <w:r>
        <w:t>TPF 2007 158</w:t>
      </w:r>
    </w:p>
    <w:p>
      <w:r>
        <w:t>158 compétence à la CFMJ, seules les parties qui ont conclu le contrat de droit privé peuvent relever leur avocat de choix du mandat qu’elles lui ont confié, la révocation du mandat étant du ressort du seul mandant (WEBER, Basler Kommentar, 4ème édition, n. 2 ad art. 404 CO). Il en découle que la décision de la CFMJ viole le principe de la légalité et est par conséquent nulle.</w:t>
      </w:r>
    </w:p>
    <w:p>
      <w:r>
        <w:rPr>
          <w:b/>
        </w:rPr>
        <w:t>E. 2.4</w:t>
      </w:r>
    </w:p>
    <w:p>
      <w:r>
        <w:t>Cela étant, le risque d’un conflit d’intérêts potentiel semble bien réel. Face à cette situation, malgré son incompétence en matière de révocation de mandat d’avocat de choix, la CFMJ est loin d’être démunie, dans la mesure où elle peut notamment prendre les mesures mentionnées supra 2.2. La défense simultanée de plusieurs personnes inculpées dans des procédures parallèles présente pour l’avocat un risque de conflit entre les intérêts de ses différents clients, bien que ces derniers poursuivent un objectif commun, et nuit ainsi à l’efficacité de la défense (arrêt du Tribunal fédéral 1P.227/2005 du 13 mai 2005, consid. 3.1). Dans un tel cas, il appartient à la CFMJ de faire usage de sa compétence de ne pas admettre un avocat comme défen- seur (cf. TPF BK_B 163/04 du 7 février 2005) respectivement de l’exclure de la procédure (cf. TPF BB.2006.131 du 12 avril 2007) si elle l’estime opportun et de rendre une décision en ce sens.</w:t>
      </w:r>
    </w:p>
    <w:p>
      <w:r>
        <w:t>TPF 2007 158</w:t>
      </w:r>
    </w:p>
    <w:p>
      <w:r>
        <w:t>32. Auszug aus dem Entscheid der I. Beschwerdekammer in Sachen A. gegen Bundesanwaltschaft vom 21. November 2007 (BB.2007.56)</w:t>
      </w:r>
    </w:p>
    <w:p>
      <w:r>
        <w:t>Beschlagnahme eines Bankkontos; Rückforderungsansprüche der Bank aus einer Bankgarantie; Beschwerdelegitimation der Bank.</w:t>
      </w:r>
    </w:p>
    <w:p>
      <w:r>
        <w:t>Art. 65 Abs. 1, 214 Abs. 2 BStP, Art. 70 Abs. 1 und 2, 305bis Ziff. 2 StGB</w:t>
      </w:r>
    </w:p>
    <w:p>
      <w:r>
        <w:t>Als persönlich und direkt betroffen gilt im Falle der Sperrung von Konten oder Erhebung von Konteninformationen der jeweilige Kontoinhaber und nicht die Bank selber. Bloss wirtschaftlich an einem Konto Berechtigte sind nur in Aus- nahmefällen selbständig beschwerdelegitimiert (E. 1.2).</w:t>
      </w:r>
    </w:p>
    <w:p>
      <w:r>
        <w:t>Durch die Beschlagnahme eines Bankkontos wird es der Bank provisorisch verwehrt, sich für die sich aus ihren eingegangenen Garantieverpflichtungen ergebenden Rückforderungsansprüche während der Dauer der Beschlagnahme schadlos zu halten. Der Bank entsteht dadurch noch kein Schaden, weshalb sie nicht konkret und unmittelbar beschwert ist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