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287 vom 27. Mai 2004</w:t>
      </w:r>
    </w:p>
    <w:p>
      <w:r>
        <w:t>Bundesstrafgericht, 2004-05-27, IT</w:t>
      </w:r>
    </w:p>
    <w:p>
      <w:r>
        <w:rPr>
          <w:b/>
        </w:rPr>
        <w:t xml:space="preserve">Quelle: </w:t>
      </w:r>
      <w:r>
        <w:t>https://mcp.opencaselaw.ch/entscheid/bstger_TPF_2006_287</w:t>
      </w:r>
    </w:p>
    <w:p>
      <w:r>
        <w:t>FR: TPF TPF 2006 287 du 27 mai 2004</w:t>
      </w:r>
    </w:p>
    <w:p>
      <w:r>
        <w:t>IT: TPF TPF 2006 287 del 27 maggio 2004</w:t>
      </w:r>
    </w:p>
    <w:p>
      <w:pPr>
        <w:pStyle w:val="Heading2"/>
      </w:pPr>
      <w:r>
        <w:t>Regeste</w:t>
      </w:r>
    </w:p>
    <w:p>
      <w:r>
        <w:t>"Durchsuchung von Papieren; Berufsgeheimnis; Entsiegelungsverfahren."</w:t>
      </w:r>
    </w:p>
    <w:p>
      <w:pPr>
        <w:pStyle w:val="Heading2"/>
      </w:pPr>
      <w:r>
        <w:t>Erwägungen</w:t>
      </w:r>
    </w:p>
    <w:p>
      <w:r>
        <w:rPr>
          <w:b/>
        </w:rPr>
        <w:t>E. 2</w:t>
      </w:r>
    </w:p>
    <w:p>
      <w:r>
        <w:t>Il segreto professionale è opponibile unicamente al sequestro di docu- menti legati all’attività tipica dell’avvocato ai sensi dell’art. 321 CP. L’attività tipica dell’avvocato consiste essenzialmente nel fornire consigli di natura giuridica, nel difendere gli interessi altrui intervenendo davanti ai tribunali e rappresentando i clienti nel medesimo contesto (B. CORBOZ, Les infractions en droit suisse, Berne 2002, vol. II, n° 10 ad art. 321 CP; dello stesso autore, Le secret professionnel de l’avocat selon l’art. 321 CP, in SJ 1993 pag. 77 e segg., in particolare pag. 82). L’avvocato non può per contro</w:t>
      </w:r>
    </w:p>
    <w:p>
      <w:r>
        <w:t>TPF 2006 287 289 prevalersi del suo segreto professionale per impedire il sequestro di docu- menti relativi ad attività che presentano un carattere commerciale preponde- rante, segnatamente quelle che riguardano l’amministrazione di beni o la gestione di capitali oppure altre prestazioni che esulano dalla sua funzione specifica (sentenza del Tribunale federale 1S.31/2005 del 6 febbraio 2006 consid. 2.4 e giurisprudenza citata; M. PFEIFER, in Fellmann/Zindel [éd.], Kommentar zum Anwaltsgesetz, Zurigo/Basilea/Ginevra 2005, n° 31 e segg. ad art. 13 LLCA; N. OBERHOLZER, Basler Kommentar, Basilea 2003, n° 13 ad art. 321 CP; S. TRECHSEL, Schweizerisches Strafgesetzbuch, Kur- 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La Corte dei reclami penali ha esaminato, in maniera esaustiva, tutti gli incarti sequestrati. Essa ha visionato i supporti informatici sui quali sono stati registrati i dati elettronici dello studio legale D. In questa fase iniziale, la Corte si è limitata a distinguere gli incarti contenenti informazioni perti- nenti per l’inchiesta da quelli per i quali una tale pertinenza è stata esclusa. Nella prima categoria, essa ha in seguito distinto gli incarti il cui contenuto non è coperto dal segreto professionale dell’avvocato da quelli potenzial- mente toccati da tale segreto. Quest’ultimi saranno oggetto di una decisione ulteriore. Si premette che non è stata effettuata una cernita degli atti docu- mento per documento: considerato l’ingente quantitativo degli stessi, una cernita secondo tale modalità sarebbe stata totalmente disproporzionata. A tale proposito, giova rilevare che nell’ambito di un’inchiesta fiscale che vede implicato uno studio legale, tutta la documentazione legata all’attività del medesimo (documentazione contabile e bancaria, fatture, ma anche contratti, corrispondenza, verbali, ecc.) può - nella misura in cui concerne un’attività remunerata - entrare in considerazione per determinare i redditi dello studio (v. sentenza del Tribunale federale 1S.31/2005 consid. 3.2.3 e 3.3). L’analisi approfondita di tutta questa documentazione può permettere ad esempio di verificare la concordanza tra le fatture emesse dallo studio e l’attività svolta, di paragonare i movimenti di capitali descritti nella corri- spondenza o nei verbali con la contabilità dello studio nonché di evidenziare le commissioni stabilite contrattualmente percepite dai coniugi A. e B. D’altronde, documenti apparentemente privi di pertinenza per questa Corte</w:t>
      </w:r>
    </w:p>
    <w:p>
      <w:r>
        <w:t>TPF 2006 290 290 potrebbero al contrario essere utili per l’autorità fiscale, soprattutto in rela- zione agli elementi da lei già assunti e coperti dal segreto istruttorio. Ciono- nostante, tenuto conto della mole degli incarti, non è escluso che singoli documenti privi d’interesse per l’inchiesta possano essere stati versati agli atti. 79. Auszug aus dem Entscheid der Strafkammer in Sachen Bundesanwalt- schaft gegen A. und B. vom 15. September 2006 (SK.2006.2) Fahrlässige Störung des öffentlichen Verkehrs; insbesondere auf Skipisten. Art. 237 StGB Schutzobjekt von Art. 237 StGB ist der öffentliche Verkehr im weitesten Sinne; erfasst ist auch der Verkehr auf in Skitourenkarten markierten offiziellen Routen (E. 2.1.1). Das nicht abwendbare Queren einer Skitourenroute mit dem Flugzeug bei der Landung gilt als Tathandlung gemäss Art. 237 StGB, wenn sich während der Landung Skitouristen im unmittelbaren Landeraum aufhalten. Es kann keine kausalitätsunterbrechende Pflichtverletzung darin gesehen werden, dass die Skitourenfahrer auf einer anerkannten Skitourenroute eine vorgespurte Glet- scherlandebahn kreuzen (E. 2.1.2). Sorgfaltspflichten von Piloten eines Luftfahrzeugs. Verantwortlichkeit mehre- rer Piloten an Bord eines Luftfahrzeugs. Fahrlässigkeit ist gegeben, wenn die Piloten Sorgfaltsregeln, welche das Luftfahrtrecht gebietet, verletzen und sie damit rechnen müssen, dass eine fehlende Kommunikation zwischen Flying Pilot und Kommandant zu einer Fehlentscheidung bei der Landung und damit einer Gefährdung Dritter führen kann (E. 2.1.3). Entrave à la circulation publique par négligence; notamment sur des pistes de ski. Art. 237 CP Le bien protégé par l’art. 237 CP est la circulation publique au sens le plus large du terme; il comprend également la circulation sur les pistes officielles indiquées sur les cartes de randonnées à skis (consid. 2.1.1). TPF 2006 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