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218 vom 1. Januar 2006</w:t>
      </w:r>
    </w:p>
    <w:p>
      <w:r>
        <w:t>Bundesstrafgericht, 2006-01-01, DE</w:t>
      </w:r>
    </w:p>
    <w:p>
      <w:r>
        <w:rPr>
          <w:b/>
        </w:rPr>
        <w:t xml:space="preserve">Quelle: </w:t>
      </w:r>
      <w:r>
        <w:t>https://mcp.opencaselaw.ch/entscheid/bstger_TPF_2006_218</w:t>
      </w:r>
    </w:p>
    <w:p>
      <w:r>
        <w:t>FR: TPF TPF 2006 218 du 1 janvier 2006</w:t>
      </w:r>
    </w:p>
    <w:p>
      <w:r>
        <w:t>IT: TPF TPF 2006 218 del 1 gennaio 2006</w:t>
      </w:r>
    </w:p>
    <w:p>
      <w:pPr>
        <w:pStyle w:val="Heading2"/>
      </w:pPr>
      <w:r>
        <w:t>Regeste</w:t>
      </w:r>
    </w:p>
    <w:p>
      <w:r>
        <w:t>Beschwerdelegitimation.</w:t>
      </w:r>
    </w:p>
    <w:p>
      <w:pPr>
        <w:pStyle w:val="Heading2"/>
      </w:pPr>
      <w:r>
        <w:t>Erwägungen</w:t>
      </w:r>
    </w:p>
    <w:p>
      <w:r>
        <w:rPr>
          <w:b/>
        </w:rPr>
        <w:t>E. 20</w:t>
      </w:r>
    </w:p>
    <w:p>
      <w:r>
        <w:t>Dezember 2005 seien aufzuheben (…); - mit Blick auf das Ergebnis des vorliegenden Entscheids auf die Einho- lung von Stellungnahmen verzichtet wurde (Art. 219 Abs. 1 BStP); - angesichts des Verfahrensausgangs offen bleiben kann, ob die Be- schwerdeführer die fünftägige Beschwerdefrist gewahrt haben; - die Edition als Surrogat der zwangsweisen Behändigung nur der Si- cherstellung von Unterlagen dient, indem die physische Kontrolle über die zu edierenden Unterlagen vom Inhaber der Dokumente auf die Un- tersuchungsbehörde übergeht; - lediglich dem Papierinhaber das Recht zukommt, gegen die Durchsu- chung derselben Einsprache zu erheben (Art. 69 Abs. 3 BStP), was zwar den physischen Übergang der Unterlagen an die Untersuchungs- behörde nicht hindert, aber zur Versiegelung der edierten Papiere führt (unveröffentlichter Entscheid des Präsidenten der Beschwerdekammer des Bundesstrafgerichts im Verfahren BB.2005.125 vom 15. Dezem- ber 2005); - diesfalls von der BA ein Entsiegelungsverfahren einzuleiten ist (Art. 69 Abs. 3 BStP), wobei der einsprechende vormalige Inhaber der Unterlagen das entsprechende Kostenrisiko trägt; - der Beschuldigte und der Kontoinhaber durch die blosse Editionsauf- forderung an die Bank nicht beschwert sind, weil in diesem Zeitpunkt nicht feststeht, ob und gegebenenfalls welche Unterlagen beschlag- nahmt werden (vgl. BGE 120 IV 260, 264 E. 3e); - eine Beschwer des Kontoinhabers erst durch eine allfällige spätere Beschlagnahme der edierten Unterlagen durch die BA – die dem Be- troffenen mittels anfechtbarer Beschlagnahmeverfügung mitsamt einer detaillierten Beschreibung der beschlagnahmten Unterlagen formell mit entsprechender Rechtsmittelbelehrung zu eröffnen ist – eintritt (vgl. BGE 120 IV 260, 261 E. 1); - es sich im Unterschied zum von den Beschwerdeführern angerufenen Entscheid des Bundesstrafgerichts BB.2005.32 vom 29. September 2005 vorliegend um die Anfechtung der blossen Editionsaufforderung</w:t>
      </w:r>
    </w:p>
    <w:p>
      <w:r>
        <w:t>TPF 2006 221 221 vor dem Übergang der physischen Kontrolle der Dokumente handelt und nicht um die Anfechtung der wie im erwähnten Entscheid bereits physisch erfolgten Beschlagnahme; - der besagte Entscheid BB.2005.32 in diesem Sinne zu verdeutlichen ist, als dass die blosse Editionsaufforderung an die Bank weder vom Beschuldigten noch vom Kontoinhaber mit Beschwerde angefochten werden kann; - den Beschwerdeführern damit die Legitimation zur Beschwerde ab- geht und sich die Beschwerde nach dem Gesagten sofort als unzulässig erweist (Art. 219 Abs. 1 BStP) (…); - Auskunfts- und Editionsaufforderungen – analog zum Auskunftsbe- gehren gemäss Art. 40 VStrR – keine Zwangsmassnahmen darstellen (BGE 120 IV 260, 262 ff. E. 3). TPF 2006 221 59. Auszug aus dem Entscheid der Strafkammer in Sachen Bundesanwalt- schaft gegen A. und B. vom 26. Januar 2006 (SK.2005.8) Zuständigkeit des Bundesstrafgerichts bei Verbrechen, die von einer kriminellen Organisation ausgehen. Zusammentreffen von verschiedenen Tatbestandsalterna- tiven nach Art. 19 BetmG. Art. 340bis Abs. 1 StGB, Art. 19 BetmG Die sachliche Zuständigkeit des Bundesstrafgerichts muss nachgewiesen sein. Finden sich in der Anklageschrift und den darin bezeichneten Beweismitteln genügend Anhaltspunkte, um die eingeklagten Betäubungsmitteldelikte als solche einer kriminellen Organisation im Sinne von Art. 260ter StGB zu be- trachten, ist die sachliche Zuständigkeit des Bundesstrafgerichts zu bejahen (E. 1.1.1, 1.1.2, 1.1.7). Für einen Schuldspruch genügt es, wenn von mehreren eingeklagten Handlun- gen, die sich jeweils auf die gleiche Drogenart und -menge beziehen, eine Hand- lung tatsächlich erwiesen ist und rechtlich unter eine Tatbestandsvariante von Art. 19 Ziff. 1 BetmG fällt. Die eingeklagten Auslandtaten müssen nicht nach- gewiesen sein, falls sie sich in ein einheitliches, in der Schweiz strafbares Ge- schehen einordnen lassen; die Voraussetzungen von Art. 19 Ziff. 4 BetmG sind nicht zu prüfen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