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69 vom 1. Januar 2005</w:t>
      </w:r>
    </w:p>
    <w:p>
      <w:r>
        <w:t>Bundesstrafgericht, 2005-01-01, IT</w:t>
      </w:r>
    </w:p>
    <w:p>
      <w:r>
        <w:rPr>
          <w:b/>
        </w:rPr>
        <w:t xml:space="preserve">Quelle: </w:t>
      </w:r>
      <w:r>
        <w:t>https://mcp.opencaselaw.ch/entscheid/bstger_TPF_2005_69</w:t>
      </w:r>
    </w:p>
    <w:p>
      <w:r>
        <w:t>FR: TPF TPF 2005 69 du 1 janvier 2005</w:t>
      </w:r>
    </w:p>
    <w:p>
      <w:r>
        <w:t>IT: TPF TPF 2005 69 del 1 gennaio 2005</w:t>
      </w:r>
    </w:p>
    <w:p>
      <w:pPr>
        <w:pStyle w:val="Heading2"/>
      </w:pPr>
      <w:r>
        <w:t>Regeste</w:t>
      </w:r>
    </w:p>
    <w:p>
      <w:r>
        <w:t>"Prozessvertretung; Interessenkonflikt."</w:t>
      </w:r>
    </w:p>
    <w:p>
      <w:pPr>
        <w:pStyle w:val="Heading2"/>
      </w:pPr>
      <w:r>
        <w:t>Erwägungen</w:t>
      </w:r>
    </w:p>
    <w:p>
      <w:r>
        <w:rPr>
          <w:b/>
        </w:rPr>
        <w:t>E. 8</w:t>
      </w:r>
    </w:p>
    <w:p>
      <w:r>
        <w:t>Per quanto riguarda la contestazione secondo la quale il MPC non sareb- be competente per prendere i necessari provvedimenti per scongiurare il rischio di conflitto di interessi in un determinato procedimento, vi è da rile- vare quanto già affermato dal Tribunale federale e ribadito da codesta Corte, ossia che tali decisioni spettano ai tribunali o alle autorità incaricate di con- durre l’inchiesta penale, vale a dire al giudice istruttore o al MPC, come è il caso nella fattispecie (sentenza del Tribunale federale 1A.223/2002 del</w:t>
      </w:r>
    </w:p>
    <w:p>
      <w:r>
        <w:t>TPF 2005 73 73 18 marzo 2003, consid. 3.2; sentenza BK_B 109+110/04 del 18 agosto 2004, consid. 4). Anche questa censura risulta quindi infondata. TPF 2005 73 20. Estratto della Sentenza della Corte dei reclami penali nella causa A. contro Ministero pubblico della Confederazione del 15 febbraio 2005 (BB.2005.1) Difesa d’ufficio; assistenza giudiziaria gratuita. Art. 6 n. 3 lett. c CEDU, art. 29 cpv. 3 Cost., art. 36, 38, 47 cpv. 3 PP, art. 152 OG, art. 33 cpv. 3 DPA Le condizioni per la difesa d’ufficio sono regolate esclusivamente dall’art. 36 PP: ciò significa che l’adempimento del requisito dell’indigenza è di per sé sufficiente perché il giudice dell’arresto designi un avvocato d’ufficio ai sensi dell’art. 47 cpv. 3, terza frase, PP (consid. 4). L’imputato in detenzione preventiva indagato per appartenenza ad organizza- zione criminale e per riciclaggio di denaro che, a causa del sequestro dei suoi valori patrimoniali, non dispone più di mezzi finanziari sufficienti per remune- rare il proprio patrocinatore di fiducia deve poter far capo, per potersi difende- re correttamente, al patrocinio gratuito di un avvocato nominato d’ufficio dall’autorità inquirente. A tale situazione, infatti, è applicabile la nozione di indigenza risultante dalla giurisprudenza del Tribunale federale. Questo ap- proccio si giustifica anche per il fatto che, nell’ambito di tali inchieste, il patro- cinatore di fiducia, per quanto attiene ai valori patrimoniali a libera disposizio- ne del suo cliente, rischia sovente di essere remunerato con il provento derivan- te da attività illecite, ciò che lo esporrebbe a sua volta ad essere perseguito penalmente (consid. 5.2–5.4). Possibilità di rimborso delle spese di patrocinio da parte dell’imputato sul modello delle soluzioni adottate agli art. 33 DPA e art. 152 cpv. 3 OG (con- sid. 5.4.2).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