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2005 209 vom 1. Januar 2005</w:t>
      </w:r>
    </w:p>
    <w:p>
      <w:r>
        <w:t>Bundesstrafgericht, 2005-01-01, FR</w:t>
      </w:r>
    </w:p>
    <w:p>
      <w:r>
        <w:rPr>
          <w:b/>
        </w:rPr>
        <w:t xml:space="preserve">Quelle: </w:t>
      </w:r>
      <w:r>
        <w:t>https://mcp.opencaselaw.ch/entscheid/bstger_TPF_2005_209</w:t>
      </w:r>
    </w:p>
    <w:p>
      <w:r>
        <w:t>FR: TPF TPF 2005 209 du 1 janvier 2005</w:t>
      </w:r>
    </w:p>
    <w:p>
      <w:r>
        <w:t>IT: TPF TPF 2005 209 del 1 gennaio 2005</w:t>
      </w:r>
    </w:p>
    <w:p>
      <w:pPr>
        <w:pStyle w:val="Heading2"/>
      </w:pPr>
      <w:r>
        <w:t>Regeste</w:t>
      </w:r>
    </w:p>
    <w:p>
      <w:r>
        <w:t>"Anspruch auf rechtliches Gehör; Akteneinsicht; Kollusionsgefahr; Freilassung."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April 1999 zwischen der Schweizerischen Eidgenossenschaft und der Bun- desrepublik Deutschland über die grenzüberschreitende polizeiliche und justi- tielle Zusammenarbeit (Schweizerisch-deutscher Polizeivertrag) Gesetzliche Grundlage für den Einsatz eines verdeckten Ermittlers im Rahmen der internationalen Rechtshilfe bildet das Staatsvertragsrecht, vorliegend der Schweizerisch-deutsche Polizeivertrag. Beim Einsatz eines ausländischen Ermittlers ist zu prüfen, ob die Vorausset- zungen für die Ernennung nach Art. 5 BVE erfüllt sind.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