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159 vom 14. September 2005</w:t>
      </w:r>
    </w:p>
    <w:p>
      <w:r>
        <w:t>Bundesstrafgericht, 2005-09-14, DE</w:t>
      </w:r>
    </w:p>
    <w:p>
      <w:r>
        <w:rPr>
          <w:b/>
        </w:rPr>
        <w:t xml:space="preserve">Quelle: </w:t>
      </w:r>
      <w:r>
        <w:t>https://mcp.opencaselaw.ch/entscheid/bstger_TPF_2005_159</w:t>
      </w:r>
    </w:p>
    <w:p>
      <w:r>
        <w:t>FR: TPF TPF 2005 159 du 14 septembre 2005</w:t>
      </w:r>
    </w:p>
    <w:p>
      <w:r>
        <w:t>IT: TPF TPF 2005 159 del 14 settembre 2005</w:t>
      </w:r>
    </w:p>
    <w:p>
      <w:pPr>
        <w:pStyle w:val="Heading2"/>
      </w:pPr>
      <w:r>
        <w:t>Regeste</w:t>
      </w:r>
    </w:p>
    <w:p>
      <w:r>
        <w:t>"Aufhebung der Beschlagnahme von Vermögenswerten; Verfügungsmacht der kriminellen Organisation; Umkehr der Beweislast. Garantie der Menschenwürde."</w:t>
      </w:r>
    </w:p>
    <w:p>
      <w:pPr>
        <w:pStyle w:val="Heading2"/>
      </w:pPr>
      <w:r>
        <w:t>Volltext</w:t>
      </w:r>
    </w:p>
    <w:p>
      <w:r>
        <w:t>TPF 2005 159 159 TPF 2005 159 43. Auszug aus dem Entscheid der Beschwerdekammer in Sachen A. gegen Bundesanwaltschaft vom 14. September 2005 (BB.2005.30) Aufhebung der Beschlagnahme von Vermögenswerten; Verfügungsmacht der kriminellen Organisation; Umkehr der Beweislast. Garantie der Menschenwürde. Art. 65, 105bis Abs. 2 BStP, Art. 7, 12 BV, Art. 59 Ziff. 3, 260ter StGB Der Betroffene ist bei Verweigerung der teilweisen Freigabe beschlagnahmter Vermögenswerte zur Beschwerde legitimiert (E. 1.2). Bei Vermögenswerten einer Person, die sich an einer kriminellen Organisation beteiligt oder diese unterstützt hat, wird die Verfügungsmacht der kriminellen Organisation bis zum Beweis des Gegenteils vermutet. Bejaht die zuständige Behörde die Voraussetzungen der Umkehr der Beweislast bezüglich gewisser Vermögenswerte, so hat der Betroffene zu beweisen, dass diese Vermögenswer- te nicht der Verfügungsmacht der kriminellen Organisation unterliegen; d.h. der Betroffene hat zu beweisen, dass die kriminelle Organisation weder Herr- schaftswille noch Herrschaftsmöglichkeit über diese Vermögenswerte besass (E. 2.1). Diesen Beweis vermag der Beschwerdeführer nicht zu erbringen (E. 2.2). Die Beschlagnahme des gesamten Vermögens einer Person verletzt nicht die Menschenwürde gemäss Art. 7 BV, da sie auf rechtsstaatlichen Prinzipien beruht und gesetzeskonform erfolgte (E. 2.5). Levée du séquestre de valeurs patrimoniales; pouvoir de disposition d’une organi- sation criminelle; renversement du fardeau de la preuve. Garantie de la dignité humaine. Art. 65, 105bis al. 2 PPF, art. 7, 12 Cst., art. 59 ch. 3, 260ter CP Le refus de lever partiellement le séquestre de valeurs patrimoniales ouvre à l’intéressé un droit de plainte (consid. 1.2). Les valeurs appartenant à une personne qui a participé ou apporté son soutien à une organisation criminelle sont présumées soumises, jusqu’à preuve du contraire, au pouvoir de disposition de l’organisation. Si l’autorité compétente admet le renversement du fardeau de la preuve pour certaines valeurs patri- moniales, l’intéressé doit prouver que celles-ci échappent au pouvoir de disposi- tion de l’organisation criminelle, c’est-à-dire que cette dernière n’avait ni l’intention, ni les moyens de se les approprier (consid. 2.1). Or, dans le cas</w:t>
      </w:r>
    </w:p>
    <w:p>
      <w:r>
        <w:t>TPF 2005 159 160 présent, le recourant n’a pas été en mesure d’apporter cette preuve (con- sid. 2.2). Le séquestre de l’intégralité du patrimoine d’une personne n’est pas contraire à la dignité humaine au sens de l’art. 7 Cst., dès lors qu’il se fonde sur des princi- pes de l’État de droit et qu’il est exécuté en conformité avec les dispositions légales applicables (consid. 2.5). Soppressione del sequestro di valori patrimoniali; facoltà di disporre di un’organizzazione criminale; inversione dell’onere della prova. Garanzia della dignità della persona. Art. 65, 105bis cpv. 2 PP, art. 7, 12 Cost., art. 59 n. 3, 260ter CP In caso di rifiuto della restituzione parziale di valori patrimoniali sequestrati, l’interessato è legittimato a interporre reclamo (consid. 1.2). Per quanto riguarda i valori patrimoniali di una persona che ha partecipato a un’organizzazione criminale o l’ha sostenuta, la facoltà di disporre dell’orga- nizzazione criminale è presunta fino a dimostrazione del contrario. Se l’auto- rità competente riconosce le condizioni per l’inversione dell’onere della prova a proposito di taluni valori patrimoniali, l’interessato deve provare che tali valori patrimoniali non sottostanno alla facoltà di disporre dell’organizzazione crimi- nale; vale a dire che l’interessato deve provare che l’organizzazione criminale non disponeva né della volontà né della possibilità di possesso sui valori patri- moniali in questione (consid. 2.1). Il reclamante non è in grado di fornire questa prova (consid. 2.2). Il sequestro dell’intero patrimonio di una persona non viola la dignità della persona secondo l’art. 7 Cost. in quanto il sequestro si fonda su principi dello Stato di diritto ed è avvenuto in conformità alla legge (consid. 2.5). Zusammenfassung des Sachverhalts: In einem gegen A. und Mitbeteiligte geführten Strafverfahren wegen Betei- ligung an bzw. Unterstützung einer kriminellen Organisation und qualifi- zierter Geldwäscherei beschlagnahmte die Bundesanwaltschaft (BA) unter anderem verschiedene Bankkonten des A. Dieser ersuchte am 26. Januar und am 1. April 2005 um Freigabe eines monatlichen Betrages von Fr. 6'000.-- zur Deckung seines laufenden Lebensunterhalts. Die BA wies das Gesuch mit Verfügung vom 26. April 2005 ab. Die Beschwerdekammer wies die Beschwerde ab, soweit sie darauf eintrat.</w:t>
      </w:r>
    </w:p>
    <w:p>
      <w:r>
        <w:t>TPF 2005 159 161 Aus den Erwägungen: 1.2 (…) Durch die Verweigerung der teilweisen Freigabe der beschlag- nahmten Vermögenswerte ist der Beschwerdeführer beschwert und als Ver- fügungsadressat damit zur Beschwerde legitimiert. Die angefochtene Ver- fügung datiert vom 26. April 2005 und ging tags darauf beim Rechtsvertre- ter des Beschwerdeführers ein, womit die fünftägige Beschwerdefrist am 28. April 2005 zu laufen begann. Mit Postaufgabe der Beschwerde am 2. Mai 2005 ist diese Frist gewahrt. Auf die Beschwerde ist demnach grund- sätzlich einzutreten. 2. 2.1 Nach Massgabe von Art. 59 Ziff. 3 StGB verfügt der Richter die Einzie- hung aller Vermögenswerte, welche der Verfügungsmacht einer kriminellen Organisation unterliegen, unabhängig von ihrer Herkunft, bisherigen Ver- wendung und zukünftigen Zweckbestimmung. Unerheblich ist somit, ob es sich um deliktisch oder legal erworbene Vermögenswerte handelt, oder ob diese für die Bestreitung legaler Zwecke bestimmt sind (vgl. Urteil des Bundesgerichts 1S.16/2005 vom 7. Juni 2005 E. 2.2). Bei Vermögenswerten einer Person, die sich an einer kriminellen Organisation beteiligt oder sie unterstützt hat (Art. 260ter StGB), wird die Verfügungsmacht der Organisa- tion bis zum Beweis des Gegenteils vermutet (SCHMID, Einzie- hung/Organisiertes Verbrechen/Geldwäscherei, Kommentar, Band I, Zürich 1998, N. 188 zu Art. 59 StGB; BAUMANN, Basler Kommentar, Basel 2003, N. 65 zu Art. 59 StGB). Bejaht die zuständige Behörde die Voraussetzun- gen der Beweislastumkehr bezüglich gewisser Vermögenswerte, so hat der Betroffene zu beweisen, dass die Vermögenswerte nicht der Verfügungs- macht der kriminellen Organisation unterliegen; d.h. der Betroffene hat zu beweisen, dass die Organisation weder Herrschaftswille noch Herrschafts- möglichkeit über die Vermögenswerte besass (SCHMID, a.a.O., N. 200 zu Art. 59 StGB). Bereits im Ermittlungs- bzw. Untersuchungsverfahren ist es möglich, die voraussichtlich der Einziehung und damit auch der Beweis- lastumkehr von Art. 59 Ziff. 3 StGB unterliegenden Vermögenskomplexe vorläufig zu beschlagnahmen (Art. 65 Abs. 1 Satz 3 BStP; SCHMID, a.a.O., N. 197 zu Art. 59 StGB; BAUMANN, a.a.O., N. 74 zu Art. 59 StGB), womit verhindert werden soll, dass der Beschuldigte die Einziehung der Vermö- genswerte vereiteln kann. Über das definitive Schicksal der beschlagnahm- ten Vermögenswerte hat sich der Sachrichter im Einziehungsentscheid aus- zusprechen (PIQUEREZ, Procédure pénale suisse, Zürich 2000, N. 2578 zu § 119). Die Beschlagnahme präjudiziert den materiellen Einziehungsent-</w:t>
      </w:r>
    </w:p>
    <w:p>
      <w:r>
        <w:t>TPF 2005 159 162 scheid nicht (BAUMANN a.a.O, N. 74 zu Art. 59 StGB). Die Widerlegung der gesetzlichen Vermutung unterliegt im Zeitpunkt der Beschlagnahme allerdings höheren Anforderungen als dies im Hinblick auf den materiellen Einziehungsentscheid der Fall ist: Der Beschlagnahmeentscheid hat sich nämlich vom im Untersuchungsverfahren geltenden Grundsatz „in dubio pro duriore“ (vgl. hierzu Urteil des Bundesgerichts 1P.65/2001 vom 20. April 2001 E. 2.a) leiten zu lassen, wonach der Untersuchungsrichter im Zweifelsfall mehr bzw. schwerere Tatbestände zur gerichtlichen Beurtei- lung überweisen muss. Ein Vermögenswert einer Person, die der Beteili- gung oder Unterstützung einer kriminellen Organisation verdächtigt wird, kann deshalb beschlagnahmt werden, wenn der Inhaber nicht sogleich, ohne weitere Erhebungen und eindeutig darzutun vermag, dass der Vermögens- wert weder direkt noch indirekt der Verfügungsmacht der kriminellen Or- ganisation unterliegt (vgl. zum Ganzen: Entscheide des Bundesstrafgerichts BK_B 077/04 vom 25. August 2004 E. 4; Urteil des Bundesgerichts 1S.16/2005 vom 7. Juni 2005 E. 2.2). 2.2 Der Beschwerdeführer beanstandet vorab die Auslegung des Art. 59 Ziff. 3 StGB durch die Beschwerdegegnerin, indem er sinngemäss ausführt, die besagte Gesetzesbestimmung gebiete nicht die Einziehung sämtlicher Vermögenswerte eines Beschuldigten, sondern nur derjenigen, die der Ver- fügungsmacht einer kriminellen Organisation unterlägen. Dieser Argumen- tation ist im Grundsatz zuzustimmen, wobei das Gesetz allerdings bis zum Beweis des Gegenteils die Vermutung aufstellt, bei sämtlichen Vermö- genswerten einer Person, die sich an einer kriminellen Organisation beteiligt oder sie unterstützt hat, sei die Verfügungsmacht der Organisation gegeben. Diesen Gegenbeweis – dass der Vermögenswert weder direkt noch indirekt der Verfügungsmacht der kriminellen Organisation unterliegt – vermag der Beschwerdeführer nicht ohne weiteres und eindeutig zu erbringen, weshalb sich die Beschwerde diesbezüglich als unbegründet erweist. 2.5 Der Beschwerdeführer stellt sich weiter auf den Standpunkt, die Be- schlagnahme seines gesamten Vermögens und mithin seines Existenzmini- mums verletze Art. 7 BV, wonach die Würde des Menschen zu achten und zu schützen ist. Da das Existenzminimum des Beschwerdeführers – wie nachfolgend aufgezeigt wird – anderweitig garantiert ist und Art. 7 BV somit in diesem Sinne nicht beschlagen wird, im Übrigen ein Recht auf Belassen des Existenzminimums aus der angerufenen Gesetzesbestimmung nicht abgeleitet werden kann und der Kerngehalt des angerufenen Grund- rechts auch ansonsten nicht betroffen ist, zumal die hier streitige Beschlag-</w:t>
      </w:r>
    </w:p>
    <w:p>
      <w:r>
        <w:t>TPF 2005 163 163 nahme auf rechtsstaatlichen Prinzipien beruht und gesetzeskonform erfolg- te, geht die Beschwerde auch in diesem Punkt fehl. TPF 2005 163 44. Estratto della Sentenza della Corte dei reclami penali nella causa A. contro Ministero pubblico della Confederazione del 21 settembre 2005 (BB.2005.76) Lingua della procedura; diritto di traduzione. Art. 16 cpv. 2, 97 PP, art. 37 cpv. 3 OG, art. 5 n. 2, 6 n. 3 lett. a, e CEDU In assenza di una disposizione legale esplicita che impone la scelta di una delle lingue ufficiali per la conduzione dell'inchiesta preliminare e tenuto conto del- l'ampio potere di apprezzamento di cui il Ministero pubblico della Confedera- zione dispone in quest'ambito, per l'attribuzione linguistica di un'inchiesta preliminare a livello federale occorre tenere conto della lingua parlata dalla maggioranza dei soggetti implicati nell'inchiesta e di quella del luogo di com- missione dei reati oppure quella dell'esecuzione delle misure coercitive (con- sid. 3.1). In applicazione dei dati relativi alle conoscenze linguistiche delle parti al proce- dimento si evince che la lingua maggioritaria è l'italiano (per 8/11) e non il tedesco (per 5/11), per cui nella fattispecie va riconosciuto che il Ministero pubblico della Confederazione non ha trasceso il suo potere discrezionale nel scegliere l’italiano quale lingua della procedura (consid 3.3). La giurisprudenza dedotta dall'art. 6 n. 3 lett. a CEDU ha regolarmente sancito il diritto dell'imputato di ottenere la traduzione degli atti dell'incarto la cui comprensione è necessaria per garantire una condotta equa del procedimento, precisando tuttavia che la traduzione di questi atti non deve necessariamente avvenire per iscritto, che può limitarsi ai soli passaggi pertinenti per la difesa e che gli atti di un incarto possono essergli spiegati dall'avvocato, valendo per quest'ultimo la presunzione della conoscenza perlomeno passiva delle lingue nazionali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