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40 vom 8. November 2004</w:t>
      </w:r>
    </w:p>
    <w:p>
      <w:r>
        <w:t>Bundesstrafgericht, 2004-11-08, DE</w:t>
      </w:r>
    </w:p>
    <w:p>
      <w:r>
        <w:rPr>
          <w:b/>
        </w:rPr>
        <w:t xml:space="preserve">Quelle: </w:t>
      </w:r>
      <w:r>
        <w:t>https://mcp.opencaselaw.ch/entscheid/bstger_TPF_2004_40</w:t>
      </w:r>
    </w:p>
    <w:p>
      <w:r>
        <w:t>FR: TPF TPF 2004 40 du 8 novembre 2004</w:t>
      </w:r>
    </w:p>
    <w:p>
      <w:r>
        <w:t>IT: TPF TPF 2004 40 del 8 novembre 2004</w:t>
      </w:r>
    </w:p>
    <w:p>
      <w:pPr>
        <w:pStyle w:val="Heading2"/>
      </w:pPr>
      <w:r>
        <w:t>Regeste</w:t>
      </w:r>
    </w:p>
    <w:p>
      <w:r>
        <w:t>"Unterrichtung über den Gegenstand der Anschuldigung; aktuelles Interesse; rechtliches Gehör. Beschlagnahme von Vermögenswerten im Hinblick auf eine Ersatzforderung; Hausdurchsuchung bzw. Siegelung; gesetzliche Grundlage."</w:t>
      </w:r>
    </w:p>
    <w:p>
      <w:pPr>
        <w:pStyle w:val="Heading2"/>
      </w:pPr>
      <w:r>
        <w:t>Erwägungen</w:t>
      </w:r>
    </w:p>
    <w:p>
      <w:r>
        <w:rPr>
          <w:b/>
        </w:rPr>
        <w:t>E. 40</w:t>
      </w:r>
    </w:p>
    <w:p>
      <w:r>
        <w:t>TPF 2004 40 12. Auszug aus dem Entscheid der Beschwerdekammer in Sachen A. und B. gegen Eidg. Steuerverwaltung vom 8. November 2004 (BK_B 084/04) Unterrichtung über den Gegenstand der Anschuldigung; aktuelles Interesse; rechtliches Gehör. Beschlagnahme von Vermögenswerten im Hinblick auf eine Ersatzforderung; Hausdurchsuchung bzw. Siegelung; gesetzliche Grundlage. Art. 32 Abs. 2 BV, Art. 6 Ziff. 3 lit. a EMRK, Art. 59 Ziff. 2 StGB, Art. 2, 28 Abs. 1, 46 Abs. 1 lit. b, 50 Abs. 3 VStrR Das Recht des Beschuldigten auf Bekanntgabe des Untersuchungsgegenstandes beinhaltet auch eine Spezifikation des ihm vorgeworfenen Sachverhaltes. Vor- liegend besteht kein aktuelles Interesse, nachdem die Untersuchungsbehörde im Rahmen des Schriftenwechsels vor der Beschwerdeinstanz die Verdächti- gungen entsprechend präzisierte und die Beschuldigten dazu Stellung nehmen konnten (E. 2.1). Dem Betroffenen erwächst kein Nachteil durch eine kurze Sichtung von Papie- ren anlässlich einer Hausdurchsuchung und die gestützt darauf erfolgte Be- schlagnahme von Vermögenswerten (Guthaben auf Bankkonten), selbst wenn er die Siegelung der Papiere verlangte (E. 2.2). Art. 46 Abs. 1 lit. b VStrR sieht keine Beschlagnahme von Vermögenswerten im Hinblick auf die Durchsetzung einer Ersatzforderung vor. Diesbezüglich bietet jedoch Art. 2 VStrR i.V.m. Art. 59 Ziff. 2 Abs. 3 StGB eine gesetzliche Grundlage (E. 2.4). Indication de l’objet de l’accusation; intérêt actuel; droit d’être entendu. Séques- tre de valeurs patrimoniales en vue de l’exécution d’une créance compensatrice; perquisition domiciliaire et mise sous scellés; base légale. Art. 32 al. 2 Cst., art. 6 ch. 3 let. a CEDH, art. 59 ch. 2 CP, art. 2, 28 al. 1, 46 al. 1 let. b, 50 al. 3 DPA Le droit du prévenu de connaître l’objet de l’instruction emporte celui d’être informé des faits qui lui sont spécifiquement reprochés. En l’espèce, les préve- nus ne sauraient se prévaloir d’un intérêt actuel à se plaindre, car l’autorité d’instruction a déjà précisé les soupçons portés à leur encontre dans le cadre de l’échange d’écritures devant l’instance de recours, soupçons sur lesquels ils ont ainsi eu l’occasion de se déterminer (consid. 2.1). Quand bien même il a requis la mise sous scellés des documents séquestrés à l’occasion d’une perquisition et du séquestre de valeurs patrimoniales (avoirs</w:t>
      </w:r>
    </w:p>
    <w:p>
      <w:r>
        <w:t>TPF 2004 40</w:t>
      </w:r>
    </w:p>
    <w:p>
      <w:r>
        <w:rPr>
          <w:b/>
        </w:rPr>
        <w:t>E. 41</w:t>
      </w:r>
    </w:p>
    <w:p>
      <w:r>
        <w:t>en banque) qui s’en est suivi, le détenteur ne peut prétendre avoir subi un pré- judice du fait que les documents ont été brièvement examinés (consid. 2.2). La mise sous séquestre de valeurs patrimoniales en vue de l’exécution d’une créance compensatrice n’est pas prévue par l’art. 46 al. 1 let. b DPA. Elle peut toutefois se fonder sur l’art. 2 DPA en relation avec l’art. 59 ch. 2 al. 3 CP (consid. 2.4). Informazione sull’oggetto dell’accusa; interesse attuale; diritto d’essere sentito. Sequestro di valori patrimoniali in vista di un risarcimento; perquisizione domici- liare risp. apposizione dei sigilli; base legale. Art. 32 cpv. 2 Cost., art. 6 n. 3 lett. a CEDU, art. 59 n. 2 CP, art. 2, 28 cpv. 1,</w:t>
      </w:r>
    </w:p>
    <w:p>
      <w:r>
        <w:rPr>
          <w:b/>
        </w:rPr>
        <w:t>E. 46</w:t>
      </w:r>
    </w:p>
    <w:p>
      <w:r>
        <w:t>Geheimhaltungsinteressen explizit geltend gemacht haben, von Bedeutung gewesen wäre. 2.4 Die Beschwerdeführer rügen, selbst wenn eine strafbare Handlung ge- geben sein sollte, liege kein Einziehungstatbestand nach Art. 46 Abs. 1 lit. b VStrR i.V.m. Art. 59 Abs. 1 StGB vor, da es sich bei den Mitteln auf den mit Beschlag belegten Konti nicht um solche mit deliktischer Herkunft handle bzw. sich deren Herkunft nicht bestimmen lasse. Deliktsbezug sei aber Voraussetzung für eine Einziehung. Die strafbare Handlung, die den Beschwerdeführern im Verwaltungsstrafverfahren zur Last gelegt wird, führt zutreffendenfalls zu deren Haftbarkeit bzw. solidarischen Haftbarkeit für den hinterzogenen Steuerbetrag (Art. 9 und Art. 13 DBG). Art. 12 VStrR geht davon aus, dass die Personen, welche Abgaben nicht entrichten oder Leistungen erschleichen, dadurch erhebliche unrechtmässige Vermö- gensvorteile erlangen. Es liegt in der Natur des Steuerdelikts, dass ein Täter diese Vermögensvorteile in aller Regel nicht vom Staat als Steuergläubiger widerrechtlich erlangt hat, sondern dass er zufolge des Steuerdelikts seinen Steueraufwand widerrechtlich vermindert hat. Es sind also bei ihm regel- mässig keine einziehbaren Vermögenswerte im Sinne von Art. 59 Ziff. 1 StGB (welcher aufgrund des Querverweises in Art. 2 VStrR zur Anwen- dung kommt) vorhanden. Sind aber Vermögensvorteile nur rein rechnerisch erzielt worden, so kommt keine Einziehung, sondern nur eine Ersatzforde- rung des Staates im Sinne von Art. 59 Ziff. 2 StGB in Frage (SCHMID, StGB 59 N. 53, in: Niklaus Schmid [Hrsg.], Kommentar Einziehung, organisiertes Verbrechen, Geldwäscherei, Bd. I, Zürich 1998). Art. 46 Abs. 1 lit. b VStR, auf den Art. 191 DBG bezüglich Beschlagnahmevoraussetzungen im Falle schwerer Steuerwiderhandlungen verweist und der von der Beschwerde- gegnerin als Rechtsgrundlage für die angefochtene Verfügung herangezo- gen wurde, sieht −anders als Art. 59 Ziff. 2 Abs. 3 StGB −keine Beschlag- nahme von Vermögenswerten des Betroffenen im Hinblick auf die Durch- setzung einer Ersatzforderung vor. Wenn aber keine Vermögenswerte „vor- aussichtlich der Einziehung unterliegen“, so ist eine auf Art. 46 Abs. 1 lit. b VStrR abgestützte Beschlagnahme nicht möglich. Bei diesem Ergebnis stellt sich die Frage, ob die Beschwerdegegnerin nicht eine auf Art. 2 VStrR i. V. m. 59 Ziff. 2 Abs. 3 StGB abgestützte Beschlagnahme von Vermö- genswerten im Hinblick auf die Durchsetzung der Ersatzforderung beab- sichtigt (SCHMID, a.a.O., StGB 59 N. 13) und lediglich irrtümlicherweise den unzutreffenden Art. 46 Abs. 1 lit. b VStrR in der Verfügung zitiert habe. Dies ist offensichtlich der Fall, wie sich aus der Begründung der ange- fochtenen Verfügung ergibt. Dort wird nämlich eine Formulierung über-</w:t>
      </w:r>
    </w:p>
    <w:p>
      <w:r>
        <w:t>TPF 2004 40</w:t>
      </w:r>
    </w:p>
    <w:p>
      <w:r>
        <w:rPr>
          <w:b/>
        </w:rPr>
        <w:t>E. 47</w:t>
      </w:r>
    </w:p>
    <w:p>
      <w:r>
        <w:t>nommen, die fast wörtlich aus BGE 120 IV 365, 367 E. 1 d, stammt, wel- cher vom 19. Dezember 1994 datiert und sich auf eine Beschlagnahmever- fügung der ESTV vom 16. November 1994 abstützt: „Die Vermögenswerte, welche der Beschlagnahme unterliegen, sind alle wirtschaftlichen Vorteile, die sich rechnerisch ermitteln lassen zuzüglich einer allfälligen Busse. Bei der Steuerhinterziehung besteht der sich aus dem Delikt ergebende Vermö- gensvorteil im Gegenwert der hinterzogenen Steuern.“ Aus nicht ersichtli- chen Gründen hat sich das Bundesgericht im zitierten Entscheid auf den alten und seit 1. August 1994 geänderten Art. 58 StGB und die sich mit dieser alten Fassung auseinandersetzenden Literatur (TRECHSEL, Kurz- kommentar, Art. 58, Zürich 1992 [die überarbeitete 2. Auflage, welche sich u. a. mit dem neuen Einziehungsrecht befasst, datiert von 1997]; SCHULTZ, in: ZStrR 114 [1978] 305 ff.; STRATENWERTH, Allgemeiner Teil II [letzte Auflage: Bern 1989]) bezogen und nicht auf die seit dem 1. August 1994 in Kraft stehenden Art. 58 ff. StGB. Ein Grund dürfte wohl darin zu finden sein, dass mit der seit 1. August 1994 in Kraft getretenen Änderung des Strafgesetzbuchs das Einziehungsrecht neu gegliedert, aber der aus dem Jahre 1974 stammende Text des Art. 46 VStrR nicht an die Änderung ange- passt wurde. Zudem läuft im revidierten Art. 59 StGB auch die Ersatzforde- rung gemäss Ziff. 2 unter dem Randtitel „Einziehung von Vermögenswer- ten“. Dass die ESTV als Verwaltungsbehörde diese höchstrichterliche Rechtsprechung in der Folge formularmässig übernahm, kann ihr nicht zum Nachteil gereichen, denn immerhin ist aus der Begründung ihrer Verfügun- gen genau ersichtlich, was sie damit beabsichtigt. Das Abstützen auf einen unrichtigen Gesetzesartikel hat aber auch für die Beschwerdeführer keine negativen Auswirkungen: Sind sie ohne juristische Kenntnisse, so genügt ihnen die textliche Umschreibung in der Begründung, um zu erkennen, was mit der Beschlagnahmeverfügung bezweckt ist. Sind sie aber juristisch geschult, so konnten sie den Widerspruch zwischen Gesetzesverweis und Begründung ohne weiteres erkennen. Dies führt dazu, dass die Beschwerde auch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