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2004 21 vom 12. Juli 2004</w:t>
      </w:r>
    </w:p>
    <w:p>
      <w:r>
        <w:t>Bundesstrafgericht, 2004-07-12, FR</w:t>
      </w:r>
    </w:p>
    <w:p>
      <w:r>
        <w:rPr>
          <w:b/>
        </w:rPr>
        <w:t xml:space="preserve">Quelle: </w:t>
      </w:r>
      <w:r>
        <w:t>https://mcp.opencaselaw.ch/entscheid/bstger_TPF_2004_21</w:t>
      </w:r>
    </w:p>
    <w:p>
      <w:r>
        <w:t>FR: TPF TPF 2004 21 du 12 juillet 2004</w:t>
      </w:r>
    </w:p>
    <w:p>
      <w:r>
        <w:t>IT: TPF TPF 2004 21 del 12 luglio 2004</w:t>
      </w:r>
    </w:p>
    <w:p>
      <w:pPr>
        <w:pStyle w:val="Heading2"/>
      </w:pPr>
      <w:r>
        <w:t>Regeste</w:t>
      </w:r>
    </w:p>
    <w:p>
      <w:r>
        <w:t>"Nichtfolgegebung; Beschwerdelegitimation."</w:t>
      </w:r>
    </w:p>
    <w:p>
      <w:pPr>
        <w:pStyle w:val="Heading2"/>
      </w:pPr>
      <w:r>
        <w:t>Erwägungen</w:t>
      </w:r>
    </w:p>
    <w:p>
      <w:r>
        <w:rPr>
          <w:b/>
        </w:rPr>
        <w:t>E. 1</w:t>
      </w:r>
    </w:p>
    <w:p>
      <w:r>
        <w:t>Sur le plan fédéral, l’action pénale est engagée par le MPC, auquel toute plainte ou dénonciation doit être adressée. S’il estime qu’il n’y a pas lieu de donner suite, le MPC en informe le dénonciateur ou le plaignant, de même que, si elle est connue, la personne visée par la dénonciation ou la plainte (art. 100 al. 1 à 4 PPF). A teneur de l’art. 100 al. 5 PPF, seule la victime au sens de l’art. 2 de la loi fédérale du 4 octobre 1991 sur l’aide aux victimes d’infraction (LAVI; RS 312.5) a qualité pour recourir, dans les dix jours, contre la décision par laquelle le MPC refuse d’engager l’action pénale. Contrairement à l’opinion soutenue en l’espèce par la plaignante, la procé- dure de recours contre une décision du MPC refusant d’emblée de suivre à la plainte ou à la dénonciation dont il est saisi est réglée exhaustivement par l’art. 100 PPF, à l’exclusion des art. 105bis al. 2 ou 106 al. 1bis PPF (ATF 129 IV 197 consid. 1.5 p. 200; 8G 75/2003 consid. 1.1; SJ 2004 I 229 et note p. 232). Dans une jurisprudence antérieure (ATF 128 IV 223), le Tri- bunal fédéral avait, tout en jugeant que la loi n’ouvrait pas la voie du re- cours au dénonciateur en tant que tel, laissé ouverte la question de savoir si le dénonciateur qui est en même temps un lésé direct pourrait avoir qualité pour recourir en vertu de l’art. 105bis al. 2 PPF du fait du préjudice illégi- time que lui ferait subir la décision du MPC de ne pas donner suite à sa dénonciation. Dans sa jurisprudence la plus récente, citée plus haut, il a néanmoins tranché cette question par la négative, considérant, en se fondant sur l’intention du législateur, que l’art. 105bis al. 2 PPF ne se rapporte qu’à la période qui suit l’ouverture d’une enquête en vertu de l’art. 101 al. 1 PPF et non à celle qui la précède. C’est ainsi qu’en procédure fédérale la qualité pour recourir contre une décision du MPC de ne pas suivre à l’action pénale est différente selon les stades de la procédure: si le refus intervient d’emblée, seule la victime LAVI a qualité pour recourir (art. 100 al. 5 PPF), alors que, si la même décision est prise à l’issue de l’enquête préliminaire (art. 106 al. 1bis PPF) ou encore à la fin de l’instruction préparatoire (art. 120 al. 4 PPF), cette voie de recours est ouverte à tout lésé. La décision contes- tée ayant été prise d’entrée de cause, seule une victime au sens de la LAVI aurait dès lors qualité pour s’en plaindre.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