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SN.2024.9-1 vom 14. August 2024</w:t>
      </w:r>
    </w:p>
    <w:p>
      <w:r>
        <w:t>Bundesstrafgericht, 2024-08-14, DE</w:t>
      </w:r>
    </w:p>
    <w:p>
      <w:r>
        <w:rPr>
          <w:b/>
        </w:rPr>
        <w:t xml:space="preserve">Quelle: </w:t>
      </w:r>
      <w:r>
        <w:t>https://mcp.opencaselaw.ch/entscheid/bstger_SN.2024.9-1</w:t>
      </w:r>
    </w:p>
    <w:p>
      <w:r>
        <w:t>FR: TPF SN.2024.9-1 du 14 août 2024</w:t>
      </w:r>
    </w:p>
    <w:p>
      <w:r>
        <w:t>IT: TPF SN.2024.9-1 del 14 agosto 2024</w:t>
      </w:r>
    </w:p>
    <w:p>
      <w:pPr>
        <w:pStyle w:val="Heading2"/>
      </w:pPr>
      <w:r>
        <w:t>Regeste</w:t>
      </w:r>
    </w:p>
    <w:p>
      <w:r>
        <w:t>Sicherheitshaft (Art. 231 StPO)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B., vertreten durch Rechtsanwältin Caroline Re- nold,</w:t>
      </w:r>
    </w:p>
    <w:p>
      <w:r>
        <w:rPr>
          <w:b/>
        </w:rPr>
        <w:t>E. 2</w:t>
      </w:r>
    </w:p>
    <w:p>
      <w:r>
        <w:t>C., vertreten durch Rechtsanwältin Caroline Re- nold,</w:t>
      </w:r>
    </w:p>
    <w:p>
      <w:r>
        <w:rPr>
          <w:b/>
        </w:rPr>
        <w:t>E. 3</w:t>
      </w:r>
    </w:p>
    <w:p>
      <w:r>
        <w:t>D., vertreten durch Rechtsanwältin Caroline Re- nold,</w:t>
      </w:r>
    </w:p>
    <w:p>
      <w:r>
        <w:rPr>
          <w:b/>
        </w:rPr>
        <w:t>E. 4</w:t>
      </w:r>
    </w:p>
    <w:p>
      <w:r>
        <w:t>E., vertreten durch Rechtsanwältin Annina Mul- lis,</w:t>
      </w:r>
    </w:p>
    <w:p>
      <w:r>
        <w:rPr>
          <w:b/>
        </w:rPr>
        <w:t>E. 5</w:t>
      </w:r>
    </w:p>
    <w:p>
      <w:r>
        <w:t>F., vertreten durch Rechtsanwältin Annina Mul- lis, B u n d e s s t r a f g e r i c h t T r i b u n a l p é n a l f é d é r a l T r i b u n a l e p e n a l e f e d e r a l e T r i b u n a l p e n a l f e d e r a l</w:t>
      </w:r>
    </w:p>
    <w:p>
      <w:r>
        <w:t>Geschäftsnummer: SN.2024.9-1 (Hauptgeschäftsnummer: SK.2023.23)</w:t>
      </w:r>
    </w:p>
    <w:p>
      <w:r>
        <w:t>- 2 - SN.2024.9-1</w:t>
      </w:r>
    </w:p>
    <w:p>
      <w:r>
        <w:rPr>
          <w:b/>
        </w:rPr>
        <w:t>E. 6</w:t>
      </w:r>
    </w:p>
    <w:p>
      <w:r>
        <w:t>G., vertreten durch Rechtsanwältin Annina Mul- lis,</w:t>
      </w:r>
    </w:p>
    <w:p>
      <w:r>
        <w:rPr>
          <w:b/>
        </w:rPr>
        <w:t>E. 7</w:t>
      </w:r>
    </w:p>
    <w:p>
      <w:r>
        <w:t>H., vertreten durch Rechtsanwältin Fanny de Weck,</w:t>
      </w:r>
    </w:p>
    <w:p>
      <w:r>
        <w:rPr>
          <w:b/>
        </w:rPr>
        <w:t>E. 8</w:t>
      </w:r>
    </w:p>
    <w:p>
      <w:r>
        <w:t>I., vertreten durch Rechtsanwältin Fanny de Weck,</w:t>
      </w:r>
    </w:p>
    <w:p>
      <w:r>
        <w:rPr>
          <w:b/>
        </w:rPr>
        <w:t>E. 9</w:t>
      </w:r>
    </w:p>
    <w:p>
      <w:r>
        <w:t>Erbengemeinschaft J., vertreten durch Rechtsanwältin Stephanie Motz,</w:t>
      </w:r>
    </w:p>
    <w:p>
      <w:r>
        <w:rPr>
          <w:b/>
        </w:rPr>
        <w:t>E. 10</w:t>
      </w:r>
    </w:p>
    <w:p>
      <w:r>
        <w:t>Für diesen Entscheid sind keine Kosten zu erheben.</w:t>
      </w:r>
    </w:p>
    <w:p>
      <w:r>
        <w:t>- 5 - SN.2024.9-1 Die Strafkammer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