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SN.2020.30 vom 27. Oktober 2020</w:t>
      </w:r>
    </w:p>
    <w:p>
      <w:r>
        <w:t>Bundesstrafgericht, 2020-10-27, DE</w:t>
      </w:r>
    </w:p>
    <w:p>
      <w:r>
        <w:rPr>
          <w:b/>
        </w:rPr>
        <w:t xml:space="preserve">Quelle: </w:t>
      </w:r>
      <w:r>
        <w:t>https://mcp.opencaselaw.ch/entscheid/bstger_SN.2020.30</w:t>
      </w:r>
    </w:p>
    <w:p>
      <w:r>
        <w:t>FR: TPF SN.2020.30 du 27 octobre 2020</w:t>
      </w:r>
    </w:p>
    <w:p>
      <w:r>
        <w:t>IT: TPF SN.2020.30 del 27 ottobre 2020</w:t>
      </w:r>
    </w:p>
    <w:p>
      <w:pPr>
        <w:pStyle w:val="Heading2"/>
      </w:pPr>
      <w:r>
        <w:t>Regeste</w:t>
      </w:r>
    </w:p>
    <w:p>
      <w:r>
        <w:t>Säumnis; Disziplinarmassnahme (Art. 64 Abs. 1 StPO i.V.m. Art. 205 Abs. 4 StPO)</w:t>
      </w:r>
    </w:p>
    <w:p>
      <w:pPr>
        <w:pStyle w:val="Heading2"/>
      </w:pPr>
      <w:r>
        <w:t>Erwägungen</w:t>
      </w:r>
    </w:p>
    <w:p>
      <w:r>
        <w:rPr>
          <w:b/>
        </w:rPr>
        <w:t>E. 1</w:t>
      </w:r>
    </w:p>
    <w:p>
      <w:r>
        <w:t>Gemäss Art. 205 Abs. 1 StPO hat, wer von einer Strafbehörde vorgeladen wird, der Vorladung Folge zu leisten. Das Gesetz statuiert damit bei Verfahrenshand- lungen von Strafbehörden eine formale, unbedingte persönliche Erscheinungs- pflicht der vorgeladenen Person zur festgesetzten Zeit am festgesetzten Ort (WE- BER, Basler Kommentar, 2. Aufl. 2014, Art. 205 StPO N 1). Diese Pflicht besteht bis zum Widerruf der Vorladung, der aus wichtigen Gründen erfolgen kann, mit- tels Mitteilung durch die vorladende Behörde an die vorgeladene Person</w:t>
      </w:r>
    </w:p>
    <w:p>
      <w:r>
        <w:t>- 3 - SN.2020.30 (Art. 205 Abs. 3 StPO). Ist die vorgeladene Person verhindert, hat sie dies der vorladenden Behörde unverzüglich und unter Angabe von Gründen mitzuteilen (Art. 205 Abs. 3 StPO). Gemäss Art. 205 Abs. 4 i.V.m. Art. 64 Abs. 1 StPO kann die Verfahrensleitung, die Person, die einer gerichtlichen Vorladung unentschuldigt nicht (oder zu spät) Folge leistet, mit Ordnungsbusse bis zu Fr. 1’000.-- bestrafen.</w:t>
      </w:r>
    </w:p>
    <w:p>
      <w:r>
        <w:rPr>
          <w:b/>
        </w:rPr>
        <w:t>E. 2</w:t>
      </w:r>
    </w:p>
    <w:p>
      <w:r>
        <w:t>A. und B. wurden vorliegend als Beschuldigte schriftlich und unter Androhung von Ordnungsbusse als Säumnisfolge im Verfahren SK.2020.7 zur mündlichen Urteilseröffnung vom 27. Oktober 2020 vorgeladen (vgl. vorne lit. A). Sie haben den Empfang ihrer Vorladungen bestätigt (vgl. vorne lit. A). Darüber hinaus wur- den sie anlässlich der Hauptverhandlung vom 6. Oktober 2020 von der Verfah- rensleitung explizit nochmals auf den Termin der Urteilseröffnung vom 27. Okto- ber 2020, 15:00 Uhr, hingewiesen (vgl. vorne lit. B). Gleichwohl haben A. und B. ihrer Vorladung, ohne Angabe und Beleg eines Verhinderungsgrunds, keine Folge geleistet (vgl. vorne lit. B).</w:t>
      </w:r>
    </w:p>
    <w:p>
      <w:r>
        <w:rPr>
          <w:b/>
        </w:rPr>
        <w:t>E. 3</w:t>
      </w:r>
    </w:p>
    <w:p>
      <w:r>
        <w:t>Nach dem Gesagten waren A. und B. an der mündlichen Urteilseröffnung unent- schuldigt säumig und haben damit eine verfahrensleitende Anordnung missach- tet. Die Voraussetzungen für eine Disziplinarmassnahme gemäss Art. 64 Abs. 1 StPO sind damit erfüllt. In Berücksichtigung der Schwere der Missach- tung, des verursachten Aufwandes und der finanziellen Verhältnisse sind A. und B. gemäss Art. 205 Abs. 4 i.V.m. Art. 64 Abs. 1 StPO je mit einer Ordnungsbusse von Fr. 500.-- zu sanktionieren.</w:t>
      </w:r>
    </w:p>
    <w:p>
      <w:r>
        <w:rPr>
          <w:b/>
        </w:rPr>
        <w:t>E. 4</w:t>
      </w:r>
    </w:p>
    <w:p>
      <w:r>
        <w:t>Für Entscheide der Verfahrensleitung ist der Gebührenrahmen des Einzelge- richts anwendbar; dieser beträgt Fr. 200.-- bis Fr. 5’000.-- (Art. 73 StBOG und Art. 7 lit. a BStKR). Aufgrund des Aufwandes und der finanziellen Situation von A. und B. ist die Gebühr vorliegend auf Fr. 300.-- festzusetzen (Art. 5 BStKR). Die Verfahrenskosten sind A. und B. aufzuerlegen, da sie diese durch ihre Säum- nis verursacht haben (Art. 417 i.V.m. Art. 104 Abs. 1 StPO). Da jeder von ihnen den Aufwand in gleichem Masse verursacht hat, ist eine hälftige Teilung gerecht. A. und B. haben somit je Fr. 150.-- der Verfahrenskosten zu tragen.</w:t>
      </w:r>
    </w:p>
    <w:p>
      <w:r>
        <w:t>- 4 - SN.2020.30</w:t>
      </w:r>
    </w:p>
    <w:p>
      <w:r>
        <w:rPr>
          <w:b/>
        </w:rPr>
        <w:t>E. 5</w:t>
      </w:r>
    </w:p>
    <w:p>
      <w:r>
        <w:t>Ordnungsbussen nach Art. 64 StPO liegen Verstösse sui generis zugrunde. Auf Ordnungsbussen sind daher die Regeln des StGB zur Übertretungsbusse nicht anwendbar. Entsprechend kann die als Disziplinarmassnahme ausgesprochene Ordnungsbusse bei Nichtbezahlung nicht in eine Ersatzfreiheitsstrafe umgewan- delt werden. Sie ist auf dem betreibungsrechtlichen Weg durchzusetzen (JENT, Basler Kommentar, 2. Aufl. 2014, Art. 64 StPO N 6; BRÜSCHWEILER/NA- DIG/SCHNEEBELI, in: Donatsch/Lieber/Summers et al [Hrsg.], StPO Kommentar, 3. Aufl. 2020, Art. 64 StPO N 1).</w:t>
      </w:r>
    </w:p>
    <w:p>
      <w:r>
        <w:t>- 5 - SN.2020.30 Die Vorsitzende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