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SN.2019.20 vom 29. Juli 2019</w:t>
      </w:r>
    </w:p>
    <w:p>
      <w:r>
        <w:t>Bundesstrafgericht, 2019-07-29, DE</w:t>
      </w:r>
    </w:p>
    <w:p>
      <w:r>
        <w:rPr>
          <w:b/>
        </w:rPr>
        <w:t xml:space="preserve">Quelle: </w:t>
      </w:r>
      <w:r>
        <w:t>https://mcp.opencaselaw.ch/entscheid/bstger_SN.2019.20</w:t>
      </w:r>
    </w:p>
    <w:p>
      <w:r>
        <w:t>FR: TPF SN.2019.20 du 29 juillet 2019</w:t>
      </w:r>
    </w:p>
    <w:p>
      <w:r>
        <w:t>IT: TPF SN.2019.20 del 29 luglio 2019</w:t>
      </w:r>
    </w:p>
    <w:p>
      <w:pPr>
        <w:pStyle w:val="Heading2"/>
      </w:pPr>
      <w:r>
        <w:t>Regeste</w:t>
      </w:r>
    </w:p>
    <w:p>
      <w:r>
        <w:t>Gesuch um Anonymisierung des Urteils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Mai 2019 A. wegen verbotener Handlung für einen fremden Staat (Art. 271 Ziff. 1 Abs. 1 StGB) schuldig sprach und ihn mit einer Busse von Fr. 10'000.–, bei schuld- haftem Nichtbezahlen derselben mit einer Freiheitsstrafe von 60 Tagen bestrafte;</w:t>
      </w:r>
    </w:p>
    <w:p>
      <w:r>
        <w:t>- gegen dieses Urteil derzeit eine von A. bei der Berufungskammer des Bundesstraf- gerichts erhobene Berufung pendent ist;</w:t>
      </w:r>
    </w:p>
    <w:p>
      <w:r>
        <w:t>- A. mit Eingabe seines Verteidigers vom 24. Mai 2019 den Einzelrichter im Verfahren SK.2018.71 um Anonymisierung des zur Veröffentlichung bestimmten Urteils hin- sichtlich seiner Einkommens- und Vermögensverhältnisse ersuchte;</w:t>
      </w:r>
    </w:p>
    <w:p>
      <w:r>
        <w:t>- Publikations- und Anonymisierungsentscheide Akte der Justizverwaltung sind (TSCHÜMPERLIN, Basler Kommentar, 3. Aufl., 2018, Art. 27 BGG N 5), die in die Zu- ständigkeit des Kammerpräsidiums fallen (vgl. analog Art. 59 Abs. 2 des Reglements für das Bundesgericht vom 20. November 2006 [BGerR; SR 173.110.131]);</w:t>
      </w:r>
    </w:p>
    <w:p>
      <w:r>
        <w:t>- das Bundesstrafgericht die Öffentlichkeit über seine Rechtsprechung informiert (Art. 63 Abs. 1 des Bundesgesetzes über die Organisation der Strafbehörden des Bundes vom 19. März 2010 [Strafbehördenorganisationsgesetz, StBOG; SR 173.71]);</w:t>
      </w:r>
    </w:p>
    <w:p>
      <w:r>
        <w:t>- diese gesetzliche Verpflichtung aus dem in Art. 30 Abs. 3 BV, Art. 6 Ziff. 1 EMRK und Art. 14 Abs. 1 UNO-Pakt II (SR 0.103.2) verankerten Prinzip der Justizöffentlichkeit fliesst, welches für die Transparenz der Rechtspflege sorgt, eine demokratische Kon- trolle durch das Volk ermöglicht und damit eine Absage an jede Form geheimer Ka- binettsjustiz bedeutet (BGE 134 I 286 E. 6.1);</w:t>
      </w:r>
    </w:p>
    <w:p>
      <w:r>
        <w:t>- die Endentscheide des Bundesstrafgerichts in seiner im Internet einsehbaren Daten- bank ungekürzt und grundsätzlich in anonymisierter Form veröffentlicht werden (Art. 63 Abs. 2 StBOG; Art. 3, 4 und 6 des Reglements des Bundesstrafgerichts über die Grundsätze der Information vom 24. Januar 2012 [SR 173.711.33]);</w:t>
      </w:r>
    </w:p>
    <w:p>
      <w:r>
        <w:t>- die Anonymisierung in erster Linie bezweckt, die Persönlichkeit und die Privatsphäre der Verfahrensbeteiligten zu schützen, konkret eine unnötige Anprangerung durch eine sachlich nicht erforderliche öffentliche Kundmachung der Namen zu vermeiden; sie jedoch nicht dazu führen darf, dass das Urteil nicht mehr verständlich ist (TSCHÜM- PERLIN, a.a.O. N 15b, 17);</w:t>
      </w:r>
    </w:p>
    <w:p>
      <w:r>
        <w:t>- 3 - - den berechtigten Interessen des Gesuchstellers durch die Anonymisierung aller Na- men und Indizien, die die Identifikation der im Verfahren involvierten Personen mög- lich machen könnten, gemäss der üblichen Publikationspraxis des Bundesstrafge- richts genüge getan wird;</w:t>
      </w:r>
    </w:p>
    <w:p>
      <w:r>
        <w:t>- die Angaben über die finanziellen Verhältnisse des Gesuchstellers hingegen für die Nachvollziehbarkeit der ausgesprochenen Strafe unerlässlich sind (vgl. Art. 106 Abs.</w:t>
      </w:r>
    </w:p>
    <w:p>
      <w:r>
        <w:rPr>
          <w:b/>
        </w:rPr>
        <w:t>E. 3</w:t>
      </w:r>
    </w:p>
    <w:p>
      <w:r>
        <w:t>Dieser Entscheid wird A. schriftlich eröffnet und der Bundesanwaltschaft in Kopie zur Kenntnis gebracht. Im Namen der Strafkammer des Bundesstrafgerichts</w:t>
      </w:r>
    </w:p>
    <w:p>
      <w:r>
        <w:t>Die Präsidentin i.V. Der Gerichtsschreiber</w:t>
      </w:r>
    </w:p>
    <w:p>
      <w:r>
        <w:t>Nach Eintritt der Rechtskraft mitzuteilen an - Bundesanwaltschaft als Vollzugsbehörde (vollständig)</w:t>
      </w:r>
    </w:p>
    <w:p>
      <w:r>
        <w:t>Rechtsmittelbelehrung</w:t>
      </w:r>
    </w:p>
    <w:p>
      <w:r>
        <w:t>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29. Juli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