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SN.2017.6 vom 29. März 2017</w:t>
      </w:r>
    </w:p>
    <w:p>
      <w:r>
        <w:t>Bundesstrafgericht, 2017-03-29, DE</w:t>
      </w:r>
    </w:p>
    <w:p>
      <w:r>
        <w:rPr>
          <w:b/>
        </w:rPr>
        <w:t xml:space="preserve">Quelle: </w:t>
      </w:r>
      <w:r>
        <w:t>https://mcp.opencaselaw.ch/entscheid/bstger_SN.2017.6</w:t>
      </w:r>
    </w:p>
    <w:p>
      <w:r>
        <w:t>FR: TPF SN.2017.6 du 29 mars 2017</w:t>
      </w:r>
    </w:p>
    <w:p>
      <w:r>
        <w:t>IT: TPF SN.2017.6 del 29 marzo 2017</w:t>
      </w:r>
    </w:p>
    <w:p>
      <w:pPr>
        <w:pStyle w:val="Heading2"/>
      </w:pPr>
      <w:r>
        <w:t>Regeste</w:t>
      </w:r>
    </w:p>
    <w:p>
      <w:r>
        <w:t>Gesuch um bedingte Entlassung (Art. 86 StGB)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Monaten Freiheitsstrafe, 2/3 davon in ca. 2 Monaten verbüsst wären;  Art. 86 Abs. 2 StGB letzter Satz im vorzeitigen Strafvollzug keine analoge Anwendung findet da bei diesem Haftregime die Regeln der Untersuchungs- bzw. Sicherheitshaft massgebend sind und vorliegend zudem die inhaftierte Person ein Haftentlassungsge- such gestellt hat (vgl. BGE 133 I 270 E. 3..2.1; Urteil des Bundesgerichts 6B_587/2010 vom 13. Januar 2011, E. 1.2 und 1.3.1);  aufgrund der bereits verbüssten strafprozessualen Haft eine allfällige Reststrafe keine Fluchtgefahr begründen lässt;  Massnahmen im Zusammenhang mit dem Aufenthalt in der Kompetenz der zuständi- gen kantonale Behörde liegen;</w:t>
      </w:r>
    </w:p>
    <w:p>
      <w:r>
        <w:t>- 4 -  sich die Aufrechterhaltung des vorzeitigen Strafvollzugs in Berücksichtigung des Prin- zips der Verhältnismässigkeit nicht weiter rechtfertigt, weshalb der Gesuchsteller in Be- rücksichtigung von Art. 86 Abs. 1 StGB zu entlassen ist;  keine Kosten zu erheben sind;  über die Entschädigung der Verteidigung mit der Hauptsache (SK.2017.10) zu befinden ist;</w:t>
      </w:r>
    </w:p>
    <w:p>
      <w:r>
        <w:t>verfügt die Vorsitzende: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