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SN.2014.9 vom 5. Juni 2014</w:t>
      </w:r>
    </w:p>
    <w:p>
      <w:r>
        <w:t>Bundesstrafgericht, 2014-06-05, DE</w:t>
      </w:r>
    </w:p>
    <w:p>
      <w:r>
        <w:rPr>
          <w:b/>
        </w:rPr>
        <w:t xml:space="preserve">Quelle: </w:t>
      </w:r>
      <w:r>
        <w:t>https://mcp.opencaselaw.ch/entscheid/bstger_SN.2014.9</w:t>
      </w:r>
    </w:p>
    <w:p>
      <w:r>
        <w:t>FR: TPF SN.2014.9 du 5 juin 2014</w:t>
      </w:r>
    </w:p>
    <w:p>
      <w:r>
        <w:t>IT: TPF SN.2014.9 del 5 giugno 2014</w:t>
      </w:r>
    </w:p>
    <w:p>
      <w:pPr>
        <w:pStyle w:val="Heading2"/>
      </w:pPr>
      <w:r>
        <w:t>Regeste</w:t>
      </w:r>
    </w:p>
    <w:p>
      <w:r>
        <w:t>Beschlagnahme; Aufhebung (Art. 267 Abs. 1 StPO).</w:t>
      </w:r>
    </w:p>
    <w:p>
      <w:pPr>
        <w:pStyle w:val="Heading2"/>
      </w:pPr>
      <w:r>
        <w:t>Erwägungen</w:t>
      </w:r>
    </w:p>
    <w:p>
      <w:r>
        <w:rPr>
          <w:b/>
        </w:rPr>
        <w:t>E. 1</w:t>
      </w:r>
    </w:p>
    <w:p>
      <w:r>
        <w:t>Gemäss Art. 71 Abs. 1 StGB erkennt das Gericht auf eine Ersatzforderung des Staates, wenn das Deliktsgut nicht mehr vorhanden ist. Die Ersatzforderung wird nicht auf strafprozessualem Weg, sondern mit den Mitteln der Zwangsvollstre- ckung realisiert. Um sicherzustellen, dass sie sich durchsetzen lässt, kann die Un- tersuchungsbehörde Vermögenswerte beschlagnahmen (Art. 71 Abs. 3 StGB). Diese Kompetenz hat auch das Sachgericht (TRECHSEL/PIETH-JEAN-RICHARD, Schweizerisches Strafgesetzbuch, Praxiskommentar, 2. Aufl., Zürich/St. Gallen 2013, Art. 71 N. 3). Diese präservative Massnahme hat bis zur Einleitung der Zwangsvollstreckung bestehen zu bleiben (Urteil des Bundesgerichts 6B_694/2009 vom 22. April 2009 E. 1.4.2). Betrifft die Beschlagnahme eine Liegenschaft, so merkt das Grundbuchamt eine Grundbuchsperre an (Art. 56 lit. d GBV). Fällt eine auf öffentlichem Recht beru- hende Anmerkung dahin, so veranlasst die zuständige Behörde die Löschung (Art. 962 Abs. 2 ZGB). Über die Aufhebung einer Grundbuchsperre oder einer Beschlagnahme von Bankvermögen hat die Strafkammer zu entscheiden, nachdem sie von ihr ange- ordnet wurde (Art. 267 Abs. 1 StPO).</w:t>
      </w:r>
    </w:p>
    <w:p>
      <w:r>
        <w:rPr>
          <w:b/>
        </w:rPr>
        <w:t>E. 2</w:t>
      </w:r>
    </w:p>
    <w:p>
      <w:r>
        <w:t>Im vorliegenden Fall hat die Eidgenossenschaft die Betreibung eingeleitet und sind für die Stockwerkeinheiten der betroffenen Liegenschaft und für die Miteigen- tumsanteile an solchen Verfügungsbeschränkungen errichtet worden. Diese ge- hen den strafprozessualen Massnahmen zeitlich und damit hierarchisch nach. Die Ersteren können daher aufgehoben werden, ohne dass die Zwangsvollstreckung durch den Grundeigentümer durchkreuzt zu werden vermöchte. Sie müssen frei- lich auch aufgehoben werden, damit das Betreibungsamt die Liegenschaftsanteile verwerten kann. Der Ablauf der Frist zur Beschwerde gegen die betreibungsrecht- liche Pfändung braucht nicht abgewartet zu werden; denn das Rechtsmittel hat keine aufschiebende Wirkung (Art. 36 SchKG).</w:t>
      </w:r>
    </w:p>
    <w:p>
      <w:r>
        <w:t>- 4 - Nach dem Gesagten ist die in Ziff. I/2 lit. b des Entscheids vom 27. Juli 2010 aus- gesprochene Verfügungsbeschränkung aufzuheben.</w:t>
      </w:r>
    </w:p>
    <w:p>
      <w:r>
        <w:rPr>
          <w:b/>
        </w:rPr>
        <w:t>E. 3</w:t>
      </w:r>
    </w:p>
    <w:p>
      <w:r>
        <w:t>Nachdem das Betreibungsamt eine Pfändung hinsichtlich der bei der Bank B. be- schlagnahmten Bankkonti, Depots und Schrankfach vorgenommen hat, kann auch die strafrichterliche Sperre, entsprechend Ziff I/2 lit. a des Entscheids vom 27. Juli 2010, aufgehoben werden. Die Gründe, weshalb das Betreibungsamt fünf Konti nicht in die Pfändung einbezogen hat, sind für das Gericht nicht von Bedeutung; denn die strafprozessuale Massnahme hat ihren Zweck (E. 1) erfüllt.</w:t>
      </w:r>
    </w:p>
    <w:p>
      <w:r>
        <w:rPr>
          <w:b/>
        </w:rPr>
        <w:t>E. 4</w:t>
      </w:r>
    </w:p>
    <w:p>
      <w:r>
        <w:t>Weil die an den strafprozessual beschlagnahmten Vermögenswerten Berechtigten durch die Aufhebung der Massnahme nicht benachteiligt sind, brauchen sie vor dem Entscheid nicht angehört zu werden. Hingegen wird der Beschluss A. sowie D. und E. zugestellt, damit sie an der Liegenschaft allfällig bestehende Ei- gentums-, Gläubiger- bzw. Pfandrechte im Zwangsvollstreckungsverfahren gel- tend machen können.</w:t>
      </w:r>
    </w:p>
    <w:p>
      <w:r>
        <w:rPr>
          <w:b/>
        </w:rPr>
        <w:t>E. 5</w:t>
      </w:r>
    </w:p>
    <w:p>
      <w:r>
        <w:t>Es sind keine Kosten zu erheben.</w:t>
      </w:r>
    </w:p>
    <w:p>
      <w:r>
        <w:t>- 5 - Die Strafkammer beschliesst: 1. Die mit Entscheid SK.2010.12 vom 27. Juli 2010 (Dispositiv Ziff. I/2 lit. b) angeord- nete Grundbuchsperre beim Grundbuchamt Bremgarten/AG (Gemeinde Z.) betref- fend die Grundstücke Kat. Nr. 9, 1, 2, 10, 11 (Stockwerkeinheiten auf Stammgrund- stück Nr. 12), 13, 3, 14, 15, 16, 17, 18, 4 (Miteigentumsanteile an Stockwerkeinheit Nr. 19) wird aufgehoben. 2. Die mit Entscheid vom 27. Juli 2010 (Dispositiv Ziff. I/2 lit. a) verfügte Sperre von Vermögenswerten bei der Bank B. wird vollumfänglich aufgehoben. 3. In diesem Verfahren werden keine Kosten erhoben.</w:t>
      </w:r>
    </w:p>
    <w:p>
      <w:r>
        <w:t>Eine vollständige schriftliche Ausfertigung wird eröffnet an - Bundesanwaltschaft, Dienst für Urteilsvollzug - Fürsprecher Conradin Bluntschli als Verteidiger von A. - D. - E. - Bank C. - Grundbuchamt Bremgarten/AG: zum Vollzug - Bank B.: zum Vollzug</w:t>
      </w:r>
    </w:p>
    <w:p>
      <w:r>
        <w:t>Im Namen der Strafkammer des Bundesstrafgerichts Der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6.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