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SN.2014.4 vom 11. Februar 2014</w:t>
      </w:r>
    </w:p>
    <w:p>
      <w:r>
        <w:t>Bundesstrafgericht, 2014-02-11, DE</w:t>
      </w:r>
    </w:p>
    <w:p>
      <w:r>
        <w:rPr>
          <w:b/>
        </w:rPr>
        <w:t xml:space="preserve">Quelle: </w:t>
      </w:r>
      <w:r>
        <w:t>https://mcp.opencaselaw.ch/entscheid/bstger_SN.2014.4</w:t>
      </w:r>
    </w:p>
    <w:p>
      <w:r>
        <w:t>FR: TPF SN.2014.4 du 11 février 2014</w:t>
      </w:r>
    </w:p>
    <w:p>
      <w:r>
        <w:t>IT: TPF SN.2014.4 del 11 febbraio 2014</w:t>
      </w:r>
    </w:p>
    <w:p>
      <w:pPr>
        <w:pStyle w:val="Heading2"/>
      </w:pPr>
      <w:r>
        <w:t>Regeste</w:t>
      </w:r>
    </w:p>
    <w:p>
      <w:r>
        <w:t>Freigabe Kaution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Über die Freigabe der Kaution entscheidet die Behörde, bei der die Sache hän- gig ist oder zuletzt hängig war (Art. 239 Abs. 3 StPO). Damit ist die Strafkammer des Bundesstrafgerichts zuständig.</w:t>
      </w:r>
    </w:p>
    <w:p>
      <w:r>
        <w:rPr>
          <w:b/>
        </w:rPr>
        <w:t>E. 2</w:t>
      </w:r>
    </w:p>
    <w:p>
      <w:r>
        <w:t>Gemäss Art. 239 Abs. 1 lit. b StPO wird die Sicherheitsleistung freigegeben, wenn das Strafverfahren durch Einstellung oder Freispruch rechtskräftig abge- schlossen wurde.</w:t>
      </w:r>
    </w:p>
    <w:p>
      <w:r>
        <w:rPr>
          <w:b/>
        </w:rPr>
        <w:t>E. 3</w:t>
      </w:r>
    </w:p>
    <w:p>
      <w:r>
        <w:t>Damit ist die Kaution in der Höhe von Fr. 200'000.-- sofort freizugeben und an den Einleger zurückzuzahlen.</w:t>
      </w:r>
    </w:p>
    <w:p>
      <w:r>
        <w:rPr>
          <w:b/>
        </w:rPr>
        <w:t>E. 4</w:t>
      </w:r>
    </w:p>
    <w:p>
      <w:r>
        <w:t>Die Kosten des Verfahrens gehen zulasten der Eidgenossenschaft.</w:t>
      </w:r>
    </w:p>
    <w:p>
      <w:r>
        <w:rPr>
          <w:b/>
        </w:rPr>
        <w:t>E. 5</w:t>
      </w:r>
    </w:p>
    <w:p>
      <w:r>
        <w:t>In analoger Anwendung von Art. 233 StPO ist dieser Entscheid nicht anfechtbar.</w:t>
      </w:r>
    </w:p>
    <w:p>
      <w:r>
        <w:t>- 3 - Die Strafkammer beschliesst:</w:t>
      </w:r>
    </w:p>
    <w:p>
      <w:r>
        <w:t>1. Die Kaution in der Höhe von Fr. 200'000.-- wird per sofort freigeben. Sie ist an den/die Einleger zurückzuzahlen.</w:t>
      </w:r>
    </w:p>
    <w:p>
      <w:r>
        <w:t>2. Es werden keine Kosten erhoben.</w:t>
      </w:r>
    </w:p>
    <w:p>
      <w:r>
        <w:t>Im Namen der Strafkammer des Bundesstrafgerichts</w:t>
      </w:r>
    </w:p>
    <w:p>
      <w:r>
        <w:t>Der Vorsitzende Die Gerichtsschreiberin Zustellung an  Bundesanwaltschaft, Herrn Lienhard Ochsner, Staatsanwalt des Bundes  Rechtsanwalt Daniele Timbal, Vertreter von 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