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SN.2014.11 vom 7. Juli 2014</w:t>
      </w:r>
    </w:p>
    <w:p>
      <w:r>
        <w:t>Bundesstrafgericht, 2014-07-07, DE</w:t>
      </w:r>
    </w:p>
    <w:p>
      <w:r>
        <w:rPr>
          <w:b/>
        </w:rPr>
        <w:t xml:space="preserve">Quelle: </w:t>
      </w:r>
      <w:r>
        <w:t>https://mcp.opencaselaw.ch/entscheid/bstger_SN.2014.11</w:t>
      </w:r>
    </w:p>
    <w:p>
      <w:r>
        <w:t>FR: TPF SN.2014.11 du 7 juillet 2014</w:t>
      </w:r>
    </w:p>
    <w:p>
      <w:r>
        <w:t>IT: TPF SN.2014.11 del 7 luglio 2014</w:t>
      </w:r>
    </w:p>
    <w:p>
      <w:pPr>
        <w:pStyle w:val="Heading2"/>
      </w:pPr>
      <w:r>
        <w:t>Regeste</w:t>
      </w:r>
    </w:p>
    <w:p>
      <w:r>
        <w:t>Vorzeitiger Strafvollzug (Art. 236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wird der vorzeitige Strafvollzug per sofort bewilligt.</w:t>
      </w:r>
    </w:p>
    <w:p>
      <w:r>
        <w:rPr>
          <w:b/>
        </w:rPr>
        <w:t>E. 2</w:t>
      </w:r>
    </w:p>
    <w:p>
      <w:r>
        <w:t>Die Vollzugsanstalt hat der Fluchtgefahr durch geeignete Massnahmen Rechnung zu tragen.</w:t>
      </w:r>
    </w:p>
    <w:p>
      <w:r>
        <w:rPr>
          <w:b/>
        </w:rPr>
        <w:t>E. 3</w:t>
      </w:r>
    </w:p>
    <w:p>
      <w:r>
        <w:t>Es bestehen keine besonderen Beschränkungen des Besuchs- und Korrespondenz- rechts.</w:t>
      </w:r>
    </w:p>
    <w:p>
      <w:r>
        <w:rPr>
          <w:b/>
        </w:rPr>
        <w:t>E. 4</w:t>
      </w:r>
    </w:p>
    <w:p>
      <w:r>
        <w:t>Es werden keine Kosten erhoben.</w:t>
      </w:r>
    </w:p>
    <w:p>
      <w:r>
        <w:t>Im Namen der Strafkammer des Bundesstrafgerichts</w:t>
      </w:r>
    </w:p>
    <w:p>
      <w:r>
        <w:t>Der Vorsitzende Der Gerichtsschreiber</w:t>
      </w:r>
    </w:p>
    <w:p>
      <w:r>
        <w:t>Geht an (Gerichtsurkunde)</w:t>
      </w:r>
    </w:p>
    <w:p>
      <w:r>
        <w:t>- Herrn A., c/o Flughafengefängnis, - Herrn Rechtsanwalt Johannes Helbling, (Verteidiger des Verurteilten A.) - Bundesanwaltschaft, Herrn Hansjörg Stadler, Staatsanwalt des Bundes,</w:t>
      </w:r>
    </w:p>
    <w:p>
      <w:r>
        <w:t>sowie an (Einschreiben) - Bundesanwaltschaft, Urteilsvollzug und Vermögensverwaltung, Postfach, 3003 Bern (Beilage: Kopie Urteils-Dispositiv SK.2013.40 vom 3. Juni 2014; Kopie Entscheid Si- cherheitshaft SN.2014.8 vom 3. Juni 2014) - Amt für Justizvollzug des Kantons Zürich, Feldstrasse 42, Postfach, 8090 Zürich (Beilage: Kopie Urteils-Dispositiv SK.2013.40 vom 3. Juni 2014; Kopie Entscheid Si- cherheitshaft SN.2014.8 vom 3. Juni 2014) - Flughafengefängnis, Postfach 141, 8058 Zürich</w:t>
      </w:r>
    </w:p>
    <w:p>
      <w:r>
        <w:t>- 5 - Rechtsmittelbelehrung Gegen schriftlich oder mündlich eröffnete Verfügungen des Präsidenten der Strafkammer des Bundesstraf- gerichts, ausgenommen verfahrensleitende Entscheide, kann innert 10 Tagen schriftlich und begründet Beschwerde bei der I. Beschwerdekammer des Bundesstrafgerichts, Postfach 2720, 6501 Bellinzona, einge- legt werden (Art. 393 Abs. 1 lit. b und Art. 396 Abs. 1 StPO; Art. 37 Abs. 1 StBOG). Mit der Beschwerde können gerügt werden: a. Rechtsverletzungen, einschliesslich Überschreitung und Missbrauch des Ermessens, Rechtsverweigerung und Rechtsverzögerung; b. die unvollständige oder un- richtige Feststellung des Sachverhalts; c. Unangemessenheit (Art. 393 Abs. 2 StPO).</w:t>
      </w:r>
    </w:p>
    <w:p>
      <w:r>
        <w:t>Versand: 7. Juli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