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SN.2012.15 vom 20. Juni 2012</w:t>
      </w:r>
    </w:p>
    <w:p>
      <w:r>
        <w:t>Bundesstrafgericht, 2012-06-20, DE</w:t>
      </w:r>
    </w:p>
    <w:p>
      <w:r>
        <w:rPr>
          <w:b/>
        </w:rPr>
        <w:t xml:space="preserve">Quelle: </w:t>
      </w:r>
      <w:r>
        <w:t>https://mcp.opencaselaw.ch/entscheid/bstger_SN.2012.15</w:t>
      </w:r>
    </w:p>
    <w:p>
      <w:r>
        <w:t>FR: TPF SN.2012.15 du 20 juin 2012</w:t>
      </w:r>
    </w:p>
    <w:p>
      <w:r>
        <w:t>IT: TPF SN.2012.15 del 20 giugno 2012</w:t>
      </w:r>
    </w:p>
    <w:p>
      <w:pPr>
        <w:pStyle w:val="Heading2"/>
      </w:pPr>
      <w:r>
        <w:t>Regeste</w:t>
      </w:r>
    </w:p>
    <w:p>
      <w:r>
        <w:t>Freigabe von Vermögenswerten.</w:t>
      </w:r>
    </w:p>
    <w:p>
      <w:pPr>
        <w:pStyle w:val="Heading2"/>
      </w:pPr>
      <w:r>
        <w:t>Erwägungen</w:t>
      </w:r>
    </w:p>
    <w:p>
      <w:r>
        <w:rPr>
          <w:b/>
        </w:rPr>
        <w:t>E. 23</w:t>
      </w:r>
    </w:p>
    <w:p>
      <w:r>
        <w:t>Januar 2006 an Spanien – unverzüglich zurückzuziehen." - die Bundesanwaltschaft in ihrer Vernehmlassung vom 12. März 2012 beantragt, die Anträge abzuweisen, soweit darauf einzutreten sei (TPF 2 510 798 ff.); - Rechtsanwalt Lafranchi mit Schreiben vom 24. Mai 2012 dem Gericht unaufgefor- dert auf ihn lautende Vollmachten der Gesellschaften B. SA, C. SA, D. SA und E. SA eingereicht und zur Eingabe der Bundesanwaltschaft Stellung genommen hat (TPF 2 524 233 ff.);. - zur Beurteilung der Rechtmässigkeit und Angemessenheit einer Beschlagnahme die Strafbehörde zuständig ist, bei welcher das Verfahren hängig ist (HEIMGARTNER in: Kommentar zur Schweizerischen Strafprozessordnung [StPO], Zürich/Basel/Genf</w:t>
      </w:r>
    </w:p>
    <w:p>
      <w:r>
        <w:t>- 4 - 2010, Art. 267 StPO N. 2; SCHMID, Schweizerische Strafprozessordnung, Praxis- kommentar, Zürich/St. Gallen 2009, Art. 267 StPO N. 2); - die Anklage dem Gesuchsteller qualifizierte Geldwäscherei – teilweise begangen als Mitglied einer kriminellen Organisation – zur Last legt und behauptet, die beschlag- nahmten Vermögenswerte stünden teilweise in der Verfügungsmacht einer kriminel- len Organisation; - der Freispruch vom 21. März 2012 (SK.2011.5) noch nicht rechtskräftig ist und des- halb die Möglichkeit der Einziehung der beschlagnahmten Vermögenswerte des Gesuchstellers bei Aufhebung und Rückweisung des Urteils durch das Bundesge- richt zum jetzigen Zeitpunkt nicht gänzlich ausgeschlossen werden kann; - das Bundesgericht bereits im ersten Verfahren (SK.2008.18) die Freigabe der be- schlagnahmten Vermögenswerte vor Rechtskraft untersagt hat (TPF 981 0108); - die Strafkammer deshalb die Sicherstellung aller möglicherweise einzuziehenden Vermögenswerte bis zum rechtskräftigen Abschluss des Verfahrens angeordnet hat (Ziff. XI. 3 des Dispositivs vom 21. März 2012 [TPF 2 950 096]); - die Strafkammer sich im Moment der Urteilsfällung bewusst war, dass der Versand des begründeten Urteils aller Voraussicht nach nicht vor November dieses Jahres erfolgen und der Eintritt der Rechtskraft frühestens Ende des Jahres eintreten wer- de; - die sofortige Freigabe der beschlagnahmten Vermögenswerte einem Vollzug vor Rechtskraft gleichkommen würde; - sich seit Urteilseröffnung keine neue Tatsachen ergeben haben, die für eine Freiga- be der beschlagnahmten Vermögenswerte vor Eintritt der Rechtskraft des Urteils vom 21. März 2012 sprechen; - beschlagnahmte Vermögenswerte möglichst sicher, werterhaltend und ertrag- bringend anzulegen sind (Art. 1 der Verordnung über die Anlage beschlagnahmter Vermögenswerte; SR 312.057); - die Erhaltung der beschlagnahmten Vermögenswerte aufgrund deren Höhe und der aktenkundigen Gewandtheit des Gesuchstellers in finanziellen Belangen nicht durch mildere Massnahmen als die Beschlagnahme gewährleistet werden kann; - in Anbetracht dieser Faktoren auch unter Berücksichtigung der langen Beschlag- nahmedauer keine Verletzung des Prinzips der Verhältnismässigkeit ausgemacht werden kann;</w:t>
      </w:r>
    </w:p>
    <w:p>
      <w:r>
        <w:t>- 5 - - die Aufrechterhaltung der Beschlagnahme auch nicht unzumutbar ist, zumal der Gesuchsteller keine finanzielle Not leidet; - die Beschlagnahme daher insoweit auch im heutigen Zeitpunkt gerechtfertigt und aufrecht zu halten ist; - sich die Beschwerde hinsichtlich des Freigabegesuchs als unbegründet erweist, weshalb sie insoweit abzuweisen ist; - die beanstandeten Rechtshilfeersuchen an Spanien nicht von der Strafkammer ge- stellt worden sind; - die Rechtshilfeersuchen – soweit noch pendent – nicht Gegenstand des vorliegen- den Strafverfahrens sind; - die Strafkammer gegenüber der Bundesanwaltschaft (bzw. dem ehemaligen eidg. Untersuchungsrichteramt) hinsichtlich deren Verfahrensführung nicht weisungsbe- fugt ist; - Beschwerden gegen Verfahrenshandlungen der Strafverfolgungsbehörden nicht in die Zuständigkeit der Strafkammer fallen (Art. 393 Abs. 1lit. a StPO i. V. m. Art. 35, 37 Abs. 1 StPO); - auf den Haupt- und Eventualantrag des Gesuchstellers betreffend die Rechtshilfe- gesuche an Spanien nicht eingetreten werden kann; - bei diesem Ausgang des Verfahrens der Gesuchsteller die Gerichtsgebühr von Fr. 1'000.– zu tragen hat (Art. 428 Abs. 1 StPO, Art. 73 StBOG i. V. m. Art. 5 und 8 Abs. 1 BStKR).</w:t>
      </w:r>
    </w:p>
    <w:p>
      <w:r>
        <w:t>- 6 - Die Strafkammer erkennt: 1. Das Gesuch von A. vom 4. Mai 2012 zur Freigabe seiner beschlagnahmten Ver- mögenswerte wird abgewiesen. 2. Auf das Gesuch, die Rechtshilfegesuche an Spanien zurückzuziehen bzw. deren Rückziehung anzuweisen, wird nicht eingetreten. 3. Die Verfahrenskosten in Höhe von Fr. 1'000.– werden A. auferlegt. 4. Dieser Entscheid wird der Bundesanwaltschaft, vertreten durch Lienhard Ochsner, Staatsanwalt des Bundes, und Fürsprecher Patrick Lafranchi als Verteidiger von A. eröffnet.</w:t>
      </w:r>
    </w:p>
    <w:p>
      <w:r>
        <w:t>Im Namen der Strafkammer des Bundesstrafgerichts Der Vorsitzende</w:t>
      </w:r>
    </w:p>
    <w:p>
      <w:r>
        <w:t>Der Gerichtsschreiber</w:t>
      </w:r>
    </w:p>
    <w:p>
      <w:r>
        <w:t>Rechtsmittelbelehrung Gegen Verfügungen und Beschlüsse sowie gegen die Verfahrenshandlungen der Strafkammer des Bundes- strafgerichts als erstinstanzliches Gericht des Bundes kann (ausser gegen verfahrensleitende Entscheide) bei der Beschwerdekammer des Bundesstrafgerichts innert 10 Tagen schriftlich und begründet Beschwer- de eingelegt werden (Art. 393 Abs. 1 lit. b und 394 ff. StPO). Mit der Beschwerde können Rechtsverletzungen, einschliesslich Überschreitung und Missbrauch des Er- messens, Rechtsverweigerung und Rechtsverzögerung, die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