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SN.2012.10 vom 3. April 2012</w:t>
      </w:r>
    </w:p>
    <w:p>
      <w:r>
        <w:t>Bundesstrafgericht, 2012-04-03, IT</w:t>
      </w:r>
    </w:p>
    <w:p>
      <w:r>
        <w:rPr>
          <w:b/>
        </w:rPr>
        <w:t xml:space="preserve">Quelle: </w:t>
      </w:r>
      <w:r>
        <w:t>https://mcp.opencaselaw.ch/entscheid/bstger_SN.2012.10</w:t>
      </w:r>
    </w:p>
    <w:p>
      <w:r>
        <w:t>FR: TPF SN.2012.10 du 3 avril 2012</w:t>
      </w:r>
    </w:p>
    <w:p>
      <w:r>
        <w:t>IT: TPF SN.2012.10 del 3 aprile 2012</w:t>
      </w:r>
    </w:p>
    <w:p>
      <w:pPr>
        <w:pStyle w:val="Heading2"/>
      </w:pPr>
      <w:r>
        <w:t>Regeste</w:t>
      </w:r>
    </w:p>
    <w:p>
      <w:r>
        <w:t>Istanza di partecipazione al procedimento (art. 109 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A., rappresentato dall’avv. Michele Rusca,</w:t>
      </w:r>
    </w:p>
    <w:p>
      <w:r>
        <w:rPr>
          <w:b/>
        </w:rPr>
        <w:t>E. 2</w:t>
      </w:r>
    </w:p>
    <w:p>
      <w:r>
        <w:t>B., rappresentato dall’avv. Diego Della Casa,</w:t>
      </w:r>
    </w:p>
    <w:p>
      <w:r>
        <w:rPr>
          <w:b/>
        </w:rPr>
        <w:t>E. 3</w:t>
      </w:r>
    </w:p>
    <w:p>
      <w:r>
        <w:t>F. S.p.A., rappresentata dall’avv. Rossano Pin- na.</w:t>
      </w:r>
    </w:p>
    <w:p>
      <w:r>
        <w:t>B u n d e s s t r a f g e r i c h t T r i b u n a l p é n a l f é d é r a l T r i b u n a l e p e n a l e f e d e r a l e T r i b u n a l p e n a l f e d e r a l Numero dell’incarto: SN.2012.10 (Procedura principale: SK.2011.26)</w:t>
      </w:r>
    </w:p>
    <w:p>
      <w:r>
        <w:t>- 2 - Visti: - la sentenza del 22 febbraio e 18 marzo 2010 della Corte penale del Tribunale penale federale (SK.2009.10), nota a D. S.p.A., E. S.p.A. e F. S.p.A., nonché alle parti; - il dispositivo di tale sentenza che si riproduce qui di seguito: “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