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SN.2011.27 vom 4. Oktober 2011</w:t>
      </w:r>
    </w:p>
    <w:p>
      <w:r>
        <w:t>Bundesstrafgericht, 2011-10-04, DE</w:t>
      </w:r>
    </w:p>
    <w:p>
      <w:r>
        <w:rPr>
          <w:b/>
        </w:rPr>
        <w:t xml:space="preserve">Quelle: </w:t>
      </w:r>
      <w:r>
        <w:t>https://mcp.opencaselaw.ch/entscheid/bstger_SN.2011.27</w:t>
      </w:r>
    </w:p>
    <w:p>
      <w:r>
        <w:t>FR: TPF SN.2011.27 du 4 octobre 2011</w:t>
      </w:r>
    </w:p>
    <w:p>
      <w:r>
        <w:t>IT: TPF SN.2011.27 del 4 ottobre 2011</w:t>
      </w:r>
    </w:p>
    <w:p>
      <w:pPr>
        <w:pStyle w:val="Heading2"/>
      </w:pPr>
      <w:r>
        <w:t>Regeste</w:t>
      </w:r>
    </w:p>
    <w:p>
      <w:r>
        <w:t>Beschlagnahme Fahrzeuge. Verwertung.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beschlagnahmten Fahrzeuge Audi grau, Kontrollschild 1, Audi schwarz, Kon- trollschild 2, Porsche schwarz, kein Kontrollschild und Porsche grau, Kontroll- schild 3 werden verwertet.</w:t>
      </w:r>
    </w:p>
    <w:p>
      <w:r>
        <w:rPr>
          <w:b/>
        </w:rPr>
        <w:t>E. 2</w:t>
      </w:r>
    </w:p>
    <w:p>
      <w:r>
        <w:t>Der Verwertungserlös wird beschlagnahmt.</w:t>
      </w:r>
    </w:p>
    <w:p>
      <w:r>
        <w:rPr>
          <w:b/>
        </w:rPr>
        <w:t>E. 3</w:t>
      </w:r>
    </w:p>
    <w:p>
      <w:r>
        <w:t>Die Kosten folgen der Hauptsache.</w:t>
      </w:r>
    </w:p>
    <w:p>
      <w:r>
        <w:rPr>
          <w:b/>
        </w:rPr>
        <w:t>E. 4</w:t>
      </w:r>
    </w:p>
    <w:p>
      <w:r>
        <w:t>Dieser Beschluss ist der Bundesanwaltschaft, Rechtsanwalt Beat Zürcher und Fürsprecher Michele Naef zu eröffnen.</w:t>
      </w:r>
    </w:p>
    <w:p>
      <w:r>
        <w:t>Im Namen der Strafkammer des Bundesstrafgerichts Der Präsident Die Gerichtsschreiberin Nach Eintritt der Rechtskraft mitzuteilen an: - Bundesanwaltschaft als Vollzugsbehörde (vollständig)</w:t>
      </w:r>
    </w:p>
    <w:p>
      <w:r>
        <w:t>Rechtsmittelbelehrung Gegen Verfügungen und Beschlüsse sowie gegen die Verfahrenshandlungen der Strafkammer des Bundes- strafgerichts als erstinstanzliches Gericht des Bundes kann (ausser gegen verfahrensleitende Entscheide) bei der I. Beschwerdekammer des Bundesstrafgerichts innert 10 Tagen schriftlich und begründet Be- schwerde eingelegt werden (Art. 393 Abs. 1 lit. b und 394 ff. StPO). Mit der Beschwerde können Rechtsverletzungen, einschliesslich Überschreitung und Missbrauch des Er- messens, Rechtsverweigerung und Rechtsverzögerung, die unvollständige oder unrichtige Feststellung des Sachverhalts sowie Unangemessenheit gerügt werden (Art. 393 Abs. 2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