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SN.2011.19 vom 19. August 2011</w:t>
      </w:r>
    </w:p>
    <w:p>
      <w:r>
        <w:t>Bundesstrafgericht, 2011-08-19, DE</w:t>
      </w:r>
    </w:p>
    <w:p>
      <w:r>
        <w:rPr>
          <w:b/>
        </w:rPr>
        <w:t xml:space="preserve">Quelle: </w:t>
      </w:r>
      <w:r>
        <w:t>https://mcp.opencaselaw.ch/entscheid/bstger_SN.2011.19</w:t>
      </w:r>
    </w:p>
    <w:p>
      <w:r>
        <w:t>FR: TPF SN.2011.19 du 19 août 2011</w:t>
      </w:r>
    </w:p>
    <w:p>
      <w:r>
        <w:t>IT: TPF SN.2011.19 del 19 agosto 2011</w:t>
      </w:r>
    </w:p>
    <w:p>
      <w:pPr>
        <w:pStyle w:val="Heading2"/>
      </w:pPr>
      <w:r>
        <w:t>Regeste</w:t>
      </w:r>
    </w:p>
    <w:p>
      <w:r>
        <w:t>Vorzeitiger Strafvollzug (Art. 236 StPO).</w:t>
      </w:r>
    </w:p>
    <w:p>
      <w:pPr>
        <w:pStyle w:val="Heading2"/>
      </w:pPr>
      <w:r>
        <w:t>Erwägungen</w:t>
      </w:r>
    </w:p>
    <w:p>
      <w:r>
        <w:rPr>
          <w:b/>
        </w:rPr>
        <w:t>E. 2</w:t>
      </w:r>
    </w:p>
    <w:p>
      <w:r>
        <w:t>StGB schuldig gesprochen und mit einer Freiheitsstrafe von 3 Jahren und 8 Mona- ten bestraft wurde, unter Anrechnung der Untersuchungs- und Sicherheitshaft von 464 Tagen (Urteils-Dispositiv Ziff. II.2 und II.3); - der Kanton Zürich als Vollzugskanton bestimmt wurde (Urteils-Dispositiv Ziff. II.4); - A. in Anwendung von Art. 231 StPO zur Sicherung des Strafvollzuges in Sicherheits- haft behalten worden ist (Urteils-Dispositiv Ziff. II.5); - die Verfahrensleitung der beschuldigten Person bewilligen kann, Freiheitsstrafen oder freiheitsentziehende Massnahmen vorzeitig anzutreten, sofern der Stand des Verfah- rens es erlaubt (Art. 236 Abs. 1 StPO), wobei nach Anklageerhebung der Staatsan- waltschaft Gelegenheit zur Stellungnahme einzuräumen ist (Art. 236 Abs. 2 StPO); - mit dem vorzeitigen Antritt einer freiheitsentziehenden Sanktion die Sicherheitshaft endet (Art. 220 Abs. 2 StPO); - der Präsident oder Vorsitzende der Strafkammer bzw. im Einzelgerichtsverfahren der Einzelrichter als Verfahrensleitung im Sinne von Art. 61 lit. c bzw. lit. d StPO zum Entscheid über den vorzeitigen Straf- und Massnahmenvollzug zuständig ist (Art. 36 StBOG i.V.m. Art. 15 Abs. 3 und Art. 18 Abs. 2 BStGerOG); - diese Zuständigkeit nach Eröffnung des Urteils bestehen bleibt, solange das Urteil – wie vorliegend – nicht rechtskräftig ist (vgl. HÄRRI, Basler Kommentar, Basel 2011, Art. 236 StPO N. 1 und 12; HUG, in: Donatsch/Hansjakob/Lieber [Hrsg.], Kommentar zur Schweizerischen Strafprozessordnung, Zürich/Basel/Genf 2010, Art. 236 N. 11); - A. mit Eingabe seines Verteidigers an das Bundesstrafgericht vom 5. August 2011 um Bewilligung des vorzeitigen Strafantritts ersuchen lässt und nach Orientierung der Verteidigung durch das Gericht am 15. August 2011 aufforderungsgemäss ein ent- sprechendes, persönlich unterzeichnetes Begehren einreichte; - die Bundesanwaltschaft mit Stellungnahme vom 9. August 2011 keine Einwendungen dagegen erhebt;</w:t>
      </w:r>
    </w:p>
    <w:p>
      <w:r>
        <w:t>- 3 - - eine ausdrückliche Einwilligung des Betroffenen als Voraussetzung des vorzeitigen Strafvollzugs vorliegt (HUG, a.a.O., Art. 236 StPO N. 7; HÄRRI, a.a.O., Art. 236 StPO N. 9); - das Institut des vorzeitigen Strafvollzugs zugeschnitten ist auf Beschuldigte, welche sich seit längerer Zeit in Untersuchungshaft befinden und eine längere unbedingte Freiheitsstrafe zu gewärtigen haben, da die Lebensbedingungen im Strafvollzug re- gelmässig vorteilhafter sind als in der Haft (HÄRRI, a.a.O., Art. 236 StPO N. 6); - es sich hierbei um eine Massnahme auf der Schwelle zwischen Strafverfolgung und Strafvollzug handelt, welche sich mithin zwischen Untersuchungs- und Sicherheits- haft einerseits und Straf- und Massnahmenvollzug andererseits bewegt, jedoch vor- aussetzt, dass die Haftvoraussetzungen nach Art. 212 Abs. 2 und Art. 221 StPO wei- terhin jederzeit erfüllt sind, während lediglich die automatische periodische Prüfung von Amtes wegen entfällt (HUG, a.a.O., Art. 236 StPO N. 4); - durch das Urteil vom 22. Juli 2011 der Tatverdacht im Sinne von Art. 221 Abs. 1 StPO bekräftigt worden ist und die Fortführung der Sicherheitshaft über A. aufgrund nach wie vor bestehender Fluchtgefahr angeordnet worden ist, hingegen gemäss Verfügung des Präsidenten vom 19. Juli 2011 infolge Einvernahme von A. und der Mitbeschuldigten zur Person und zur Sache anlässlich der Hauptverhandlung vom 19. Juli 2011 die Kollusionsgefahr aufgehoben ist; - sich angesichts der ausgesprochenen Freiheitsstrafe von 44 Monaten die Frage einer allfälligen vorzeitigen bedingten Entlassung aus dem Strafvollzug nach Art. 86 StGB im heutigen Zeitpunkt nicht stellt, nachdem die Haft bisher rund 16 Monate gedauert hat (vgl. Entscheid des Bundesstrafgerichts SN.2008.29 vom 8. August 2008 E. 3.5); - A. nach dem Gesagten der vorzeitige Strafvollzug bewilligt werden kann, wobei die- ser aus organisatorischen Gründen nicht per sofort, sondern per 30. August 2011 an- geordnet wird; - die Vollzugsanstalt der Fluchtgefahr durch geeignete Massnahmen Rechnung zu tragen hat, namentlich keinen Urlaub – auch nicht begleiteten – gewähren und keine Beschäftigung mit Aussenkontakt gestatten darf (Art. 236 Abs. 4 StPO; Art. 76 Abs. 2 StGB; vgl. HÄRRI, a.a.O., Art. 236 StPO N. 17; HUG, a.a.O., Art. 236 StPO N. 15 f.); - für diesen Entscheid keine Kosten erhoben werden; - gegen diesen Entscheid die Beschwerde gemäss Art. 393 ff. StPO gegeben ist (HUG, a.a.O., Art. 236 StPO N. 17 f.);</w:t>
      </w:r>
    </w:p>
    <w:p>
      <w:r>
        <w:t>- 4 - Der 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