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SN.2009.2 vom 17. Februar 2009</w:t>
      </w:r>
    </w:p>
    <w:p>
      <w:r>
        <w:t>Bundesstrafgericht, 2009-02-17, DE</w:t>
      </w:r>
    </w:p>
    <w:p>
      <w:r>
        <w:rPr>
          <w:b/>
        </w:rPr>
        <w:t xml:space="preserve">Quelle: </w:t>
      </w:r>
      <w:r>
        <w:t>https://mcp.opencaselaw.ch/entscheid/bstger_SN.2009.2</w:t>
      </w:r>
    </w:p>
    <w:p>
      <w:r>
        <w:t>FR: TPF SN.2009.2 du 17 février 2009</w:t>
      </w:r>
    </w:p>
    <w:p>
      <w:r>
        <w:t>IT: TPF SN.2009.2 del 17 febbraio 2009</w:t>
      </w:r>
    </w:p>
    <w:p>
      <w:pPr>
        <w:pStyle w:val="Heading2"/>
      </w:pPr>
      <w:r>
        <w:t>Regeste</w:t>
      </w:r>
    </w:p>
    <w:p>
      <w:r>
        <w:t>Aufhebung der Beschlagnahme (Art. 65 BStP)</w:t>
      </w:r>
    </w:p>
    <w:p>
      <w:pPr>
        <w:pStyle w:val="Heading2"/>
      </w:pPr>
      <w:r>
        <w:t>Erwägungen</w:t>
      </w:r>
    </w:p>
    <w:p>
      <w:r>
        <w:rPr>
          <w:b/>
        </w:rPr>
        <w:t>E. 1</w:t>
      </w:r>
    </w:p>
    <w:p>
      <w:r>
        <w:t>Die Depotsperre wurde verfügt und im Entscheid vom 16. September 2008 (Dispositiv Ziff. 7) aufrechterhalten zur Sicherung einer Ersatzforderung (Art. 71 Abs. 3 StGB). Sie ist damit nur begründet, insoweit sie Vermögenswerte des Ver- urteilten betrifft, da nur er Schuldner dieser Forderung ist. Ferner muss sie sich auf Werte beschränken, die zur Vollstreckung der Ersatzforderung geeignet sind. Diese vollzieht sich im ordentlichen Schuldbetreibungs- und Konkursverfahren (SCHMID, Kommentar Einziehung, Organisiertes Verbrechen, Geldwäscherei,</w:t>
      </w:r>
    </w:p>
    <w:p>
      <w:r>
        <w:t>- 3 - Band I, 2. Aufl. Zürich 2007, § 2 N. 181). Da es sich um einen Prozessentscheid handelt, ist die Depotsperre bei Vorliegen veränderter Verhältnisse grundsätzlich abänderbar (vgl. TPF BB.2006.62 vom 19. Dezember 2006 E. 2.1). Die Bank tritt vorliegend nominell als Grundpfandberechtigte auf und macht ein eigenes Inte- resse geltend; damit besteht ein schutzwürdiges Interesse an einer allfälligen Auf- hebung der Beschlagnahme mit Bezug auf den Namensschuldbrief (vgl. TPF BB.2007.56 vom 21. November 2007 E. 1.2). Auf das Gesuch ist einzutreten.</w:t>
      </w:r>
    </w:p>
    <w:p>
      <w:r>
        <w:rPr>
          <w:b/>
        </w:rPr>
        <w:t>E. 2.1</w:t>
      </w:r>
    </w:p>
    <w:p>
      <w:r>
        <w:t>Gemäss Verzeichnis gehört der Schuldbrief zu den im beschlagnahmten Depot des Verurteilten liegenden Depositen. Der Verurteilte hat daran Besitz. Die Ge- suchstellerin legt dar, dass man ihn errichtet habe in der Absicht, einen Bankkredit an die Eigentümer der belasteten Liegenschaft zu besichern, dass er jedoch bis- her nicht in diesem Sinne verwendet worden sei; gleichwohl sei er im Einver- ständnis mit den Schuldbriefschuldnern in das Depot des Verurteilten gelegt wor- den, aber nur zur Aufbewahrung, nicht zur Bestellung eines Pfandrechts. Nach ihren ursprünglichen Angaben will die Gesuchstellerin über den Schuldbrief verfügen können als Sicherheit „zur Erhöhung der bestehenden Finanzierung auf der Liegenschaft“. In ihrer letzten Eingabe erklärt sie freilich, es gehe um die Er- höhung der Sicherheiten für einen Lombardkredit an B. und C., welcher die ande- re Sicherheit, nämlich das Pfand an dem auf den Namen des Verurteilten lauten- den Depot und Unterdepot, wegen des Kursverlustes geschmälert habe. Aus dem dem Gericht eingereichten Vertrag vom 7. Januar 2009 geht hervor, dass die Bank den Drittbetroffenen B. und C. einen Kredit über Fr. 1 Mio. einräumt und da- für Schuldbriefe auf der Liegenschaft in Z. in nomineller Höhe von Fr. 1,15 Mio. erhalte, und zwar zu fiduziarischem Eigentum, „Sicherungsübereignung“; zu die- sen Titeln gehört im letzten, sechsten Rang, der Gesuchsgegenstand.</w:t>
      </w:r>
    </w:p>
    <w:p>
      <w:r>
        <w:rPr>
          <w:b/>
        </w:rPr>
        <w:t>E. 2.2</w:t>
      </w:r>
    </w:p>
    <w:p>
      <w:r>
        <w:t>Der Schuldbrief ist ein Wertpapier (STAEHELIN, Basler Kommentar ZGB II, 3. Aufl. Basel 2007, Art. 868 N. 1). Ein Aspekt dieser Eigenschaft besteht darin, dass mit seiner Errichtung das Schuldverhältnis, auf welches er zurückreicht, untergeht (Art. 855 Abs. 1 ZGB); persönliche Einreden kann der Schuldner allerdings dem Gläubiger gegenüber geltend machen, nicht aber dessen Rechtsnachfolger (Art. 872 ZGB). Weiterhin kann die Schuldbriefforderung nur mit dem Besitz am Titel geltend gemacht werden (Art. 868 Abs. 1 ZGB). Kommt der Namensschuld- brief nach Tilgung des Schuldverhältnisses in den Besitz des Grundeigentümers, so handelt es sich um einen nachträglichen Eigentümerschuldbrief (STAEHELIN, a.a.O., Art. 859 N. 6). Das Bundesgericht erklärte für den in seinem Besitz befind- lichen Inhaberschuldbrief, die Forderung habe „lediglich eine formelle Buch- bzw. Papierexistenz“ (BGE 107 III 128, 133 E. 4).</w:t>
      </w:r>
    </w:p>
    <w:p>
      <w:r>
        <w:t>- 4 - Nach Darstellung der Gesuchstellerin wurde der fragliche Schuldbrief im Zeitpunkt der Errichtung nicht für die Finanzierung der Liegenschaft verwendet und deshalb als „verschlossene Depositen“ ins – nachmalig beschlagnahmte – Wertschriften- depot Nr. 1 von A. zur sicheren Aufbewahrung gelegt. Dementsprechend ist die Liegenschaft der Drittbetroffenen bzw. der von ihnen gebildeten Erbengemein- schaften wirtschaftlich nicht mit einem Grundpfand in der entsprechenden Höhe belastet und hat die Gesuchstellerin keinen aus dem Schuldbrief fliessenden An- spruch auf Herausgabe des Titels. Dass der Verurteilte damit einverstanden ist und die übrigen Beteiligten an den Erbengemeinschaften, die das Grundeigentum am Pfandobjekt haben und Schuldbriefschuldner sind, sich am 7. Januar 2009 vertraglich mit der Gesuchstellerin geeignet haben, gibt dieser keinen dinglichen Herausgabeanspruch, jedenfalls keinen, welcher der Beschlagnahme durch den Untersuchungsrichter vorgeht. Der Vertrag beinhaltet höchstens eine obligatori- sche Verpflichtung der Grundeigentümer zur Titellieferung an die Gesuchstellerin. Weil der Verurteilte am Eigentum am Grundpfandobjekt beteiligt ist, würde die be- absichtigte weitere Verpfändung sein Vermögen schmälern, solange nicht die Kre- ditsumme, welche der Titel besichern soll, anteilsmässig ins Depot gelegt würde und dadurch beschlagnahmt bliebe. Das ist jedoch nicht vorgesehen. Dement- sprechend sind die Voraussetzungen, um die Beschlagnahme dieses Schuldbrie- fes aufzuheben, nicht erfüllt. Das Gesuch ist aus diesen Gründen abzuweisen.</w:t>
      </w:r>
    </w:p>
    <w:p>
      <w:r>
        <w:rPr>
          <w:b/>
        </w:rPr>
        <w:t>E. 3</w:t>
      </w:r>
    </w:p>
    <w:p>
      <w:r>
        <w:t>Die Kosten dieses Verfahrens trägt die Gesuchstellerin als unterliegende Partei (Art. 66 Abs. 1 Satz 1 BGG i.V.m. Art. 245 Abs. 1 BStP). Die Gerichtsgebühr ist auf Fr. 1'000.– festzusetzen (Art. 245 Abs. 2 BStP).</w:t>
      </w:r>
    </w:p>
    <w:p>
      <w:r>
        <w:rPr>
          <w:b/>
        </w:rPr>
        <w:t>E. 4</w:t>
      </w:r>
    </w:p>
    <w:p>
      <w:r>
        <w:t>Vorliegend handelt es sich um einen nachträglich zum Entscheid in der Hauptsa- che ergangenen Prozessentscheid, über dessen Gegenstand nicht mehr in einem (erstinstanzlichen) Endentscheid zu befinden ist. Deshalb wird auf die Rechtsmit- telbelehrung zur Beschwerde gegen Endentscheide hingewiesen (Art. 90 BGG). Sofern dieser Entscheid von der Beschwerdeinstanz als Zwischen- oder Vorent- scheid im Sinne von Art. 92 f. BGG verstanden würde, wird hinsichtlich seiner An- fechtung ergänzend auf die diesbezüglichen Bestimmungen hingewiesen.</w:t>
      </w:r>
    </w:p>
    <w:p>
      <w:r>
        <w:t>- 5 - 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