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SN.2008.56 vom 8. Januar 2009</w:t>
      </w:r>
    </w:p>
    <w:p>
      <w:r>
        <w:t>Bundesstrafgericht, 2009-01-08, DE</w:t>
      </w:r>
    </w:p>
    <w:p>
      <w:r>
        <w:rPr>
          <w:b/>
        </w:rPr>
        <w:t xml:space="preserve">Quelle: </w:t>
      </w:r>
      <w:r>
        <w:t>https://mcp.opencaselaw.ch/entscheid/bstger_SN.2008.56</w:t>
      </w:r>
    </w:p>
    <w:p>
      <w:r>
        <w:t>FR: TPF SN.2008.56 du 8 janvier 2009</w:t>
      </w:r>
    </w:p>
    <w:p>
      <w:r>
        <w:t>IT: TPF SN.2008.56 del 8 gennaio 2009</w:t>
      </w:r>
    </w:p>
    <w:p>
      <w:pPr>
        <w:pStyle w:val="Heading2"/>
      </w:pPr>
      <w:r>
        <w:t>Regeste</w:t>
      </w:r>
    </w:p>
    <w:p>
      <w:r>
        <w:t>Entschädigung für amtliche Verteidigung.</w:t>
      </w:r>
    </w:p>
    <w:p>
      <w:pPr>
        <w:pStyle w:val="Heading2"/>
      </w:pPr>
      <w:r>
        <w:t>Erwägungen</w:t>
      </w:r>
    </w:p>
    <w:p>
      <w:r>
        <w:rPr>
          <w:b/>
        </w:rPr>
        <w:t>E. 10</w:t>
      </w:r>
    </w:p>
    <w:p>
      <w:r>
        <w:t>Mai 2004 bis 23. März 2007 im Betrag von Fr. 24'145.75 (inkl. MWSt) einreichte; - die Kostennote mit Verfügung vom 12. Juli 2007 gutgeheissen und dem Verteidiger eine Akontozahlung in dieser Höhe zugesprochen wurde (SK.2006.14 pag. 45.2.40); - Fürsprecher Mark Schibler am 15. Dezember 2008 aufforderungsgemäss die Kos- tennote für seine weiteren Aufwendungen einreichte, welche er für die Zeit vom 31. Januar 2008 bis 15. Dezember 2008 mit Fr. 19'122.45 (inkl. MWSt) bezifferte; - der Straffall in mehreren Punkten Schwierigkeiten in tatsächlicher Hinsicht aufwarf, jedoch in rechtlicher Hinsicht nur bescheidene Probleme bot, weshalb der beantragte</w:t>
      </w:r>
    </w:p>
    <w:p>
      <w:r>
        <w:t>- 3 - Stundenansatz von Fr. 230.— angemessen ist (Art. 3 Abs. 1 des Reglements), wäh- rend jener für Reisezeit praxis- und antragsgemäss auf Fr. 200.— festzusetzen ist; - der Arbeitsaufwand von gerundet 130 Stunden angemessen erscheint, dies nament- lich unter Berücksichtigung des Umstands, dass sich der Verteidiger infolge Nichter- scheinens des Angeklagten zweimal auf die Hauptverhandlung vorbereiten musste; - 26 Stunden für die Reisen zu vier Gerichtsverhandlungen gerechtfertigt erscheinen (Hafteinvernahme in Zürich-Flughafen und drei Verhandlungen in Bellinzona), hinge- gen die Reisezeit für eine 2 Stunden dauernde Akteneinsichtnahme am Sitz des Bun- desstrafgerichts nur wenige Wochen vor der Hauptverhandlung vom 20. März 2007 als nicht notwendig erscheint, nachdem der Verteidiger 4448 Kopien in Rechnung stellte und gestützt darauf angenommen werden kann, dass er den wesentlichen Teil der Akten bereits in Kopie hatte und sich allfällig noch notwendige Aktenkopien von der Kanzlei des Bundesstrafgerichts hätte anfertigen und zusenden lassen können; - das Honorar demgemäss auf Fr. 35'100.– (zuzüglich MWSt) festzusetzen ist; - Kosten für Fotokopien von Fr. 2'255.– (vgl. TPF SK.2006.14 vom 5. April 2007 E. VII.3.2) sowie Porti- und Telefonkosten von Fr. 131.80 angemessen erscheinen; - die geltend gemachten Fahrspesen von total Fr. 710.– für vier Verhandlungsteilnah- men gerechtfertigt sind, während für zwei notwendige Übernachtungen und sechs Mahlzeiten insgesamt Fr. 450.– zu vergüten sind (Art. 4 Abs. 2 des Reglements); - als notwendige Auslagen somit Fr. 3'546.80 (zuzüglich MWSt) zu ersetzen sind: - die Entschädigung des amtlichen Verteidigers somit gesamthaft auf Fr. 41'584.– (inkl. MWSt) festzusetzen ist, unter Anrechnung der Akontozahlungen von Fr. 24'145.75; - dieser Entscheid den Parteien sowie Fürsprecher Mark Schibler zuzustellen ist;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